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AD907" w14:textId="77777777" w:rsidR="00EE1BBB" w:rsidRDefault="00EE1BBB" w:rsidP="00EE1BBB">
      <w:pPr>
        <w:pStyle w:val="Standard"/>
        <w:spacing w:line="240" w:lineRule="auto"/>
        <w:ind w:right="4303"/>
        <w:jc w:val="right"/>
      </w:pPr>
      <w:r>
        <w:rPr>
          <w:color w:val="2E3092"/>
          <w:sz w:val="12"/>
          <w:szCs w:val="12"/>
        </w:rPr>
        <w:t>Meat Science 101 (2015) 25–32</w:t>
      </w:r>
    </w:p>
    <w:p w14:paraId="0F249CD1" w14:textId="77777777" w:rsidR="00EE1BBB" w:rsidRDefault="00EE1BBB" w:rsidP="00EE1BBB">
      <w:pPr>
        <w:pStyle w:val="Standard"/>
        <w:spacing w:before="363" w:line="240" w:lineRule="auto"/>
        <w:ind w:right="3761"/>
        <w:jc w:val="right"/>
      </w:pPr>
      <w:r>
        <w:rPr>
          <w:color w:val="231F20"/>
          <w:sz w:val="15"/>
          <w:szCs w:val="15"/>
        </w:rPr>
        <w:t xml:space="preserve">Contents lists available at </w:t>
      </w:r>
      <w:r>
        <w:rPr>
          <w:color w:val="2E3092"/>
          <w:sz w:val="15"/>
          <w:szCs w:val="15"/>
        </w:rPr>
        <w:t xml:space="preserve">ScienceDirect </w:t>
      </w:r>
      <w:r>
        <w:rPr>
          <w:noProof/>
        </w:rPr>
        <w:drawing>
          <wp:anchor distT="0" distB="0" distL="114300" distR="114300" simplePos="0" relativeHeight="251659264" behindDoc="0" locked="0" layoutInCell="1" allowOverlap="1" wp14:anchorId="553D044C" wp14:editId="20DAAEAE">
            <wp:simplePos x="0" y="0"/>
            <wp:positionH relativeFrom="column">
              <wp:posOffset>19110</wp:posOffset>
            </wp:positionH>
            <wp:positionV relativeFrom="paragraph">
              <wp:posOffset>30998</wp:posOffset>
            </wp:positionV>
            <wp:extent cx="758860" cy="827989"/>
            <wp:effectExtent l="0" t="0" r="3140" b="0"/>
            <wp:wrapSquare wrapText="right"/>
            <wp:docPr id="1"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a:alphaModFix/>
                    </a:blip>
                    <a:srcRect/>
                    <a:stretch>
                      <a:fillRect/>
                    </a:stretch>
                  </pic:blipFill>
                  <pic:spPr>
                    <a:xfrm>
                      <a:off x="0" y="0"/>
                      <a:ext cx="758860" cy="827989"/>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006BFF3D" wp14:editId="4A2B7936">
            <wp:simplePos x="0" y="0"/>
            <wp:positionH relativeFrom="column">
              <wp:posOffset>3470422</wp:posOffset>
            </wp:positionH>
            <wp:positionV relativeFrom="paragraph">
              <wp:posOffset>-48920</wp:posOffset>
            </wp:positionV>
            <wp:extent cx="722193" cy="908639"/>
            <wp:effectExtent l="0" t="0" r="1707" b="5761"/>
            <wp:wrapSquare wrapText="left"/>
            <wp:docPr id="2" name="image6.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722193" cy="908639"/>
                    </a:xfrm>
                    <a:prstGeom prst="rect">
                      <a:avLst/>
                    </a:prstGeom>
                    <a:noFill/>
                    <a:ln>
                      <a:noFill/>
                      <a:prstDash/>
                    </a:ln>
                  </pic:spPr>
                </pic:pic>
              </a:graphicData>
            </a:graphic>
          </wp:anchor>
        </w:drawing>
      </w:r>
    </w:p>
    <w:p w14:paraId="0AA0A50B" w14:textId="77777777" w:rsidR="00EE1BBB" w:rsidRDefault="00EE1BBB" w:rsidP="00EE1BBB">
      <w:pPr>
        <w:pStyle w:val="Standard"/>
        <w:spacing w:before="271" w:line="240" w:lineRule="auto"/>
        <w:ind w:right="4359"/>
        <w:jc w:val="right"/>
      </w:pPr>
      <w:r>
        <w:rPr>
          <w:color w:val="231F20"/>
          <w:sz w:val="27"/>
          <w:szCs w:val="27"/>
        </w:rPr>
        <w:t>Meat Science</w:t>
      </w:r>
    </w:p>
    <w:p w14:paraId="4FE8436E" w14:textId="77777777" w:rsidR="00EE1BBB" w:rsidRDefault="00EE1BBB" w:rsidP="00EE1BBB">
      <w:pPr>
        <w:pStyle w:val="Standard"/>
        <w:spacing w:before="329" w:line="240" w:lineRule="auto"/>
        <w:ind w:right="2788"/>
        <w:jc w:val="right"/>
      </w:pPr>
      <w:r>
        <w:rPr>
          <w:color w:val="231F20"/>
          <w:sz w:val="15"/>
          <w:szCs w:val="15"/>
        </w:rPr>
        <w:t>journal homepage: www.elsevier.com/locate/meatsci</w:t>
      </w:r>
    </w:p>
    <w:p w14:paraId="1C6FA1CA" w14:textId="77777777" w:rsidR="00EE1BBB" w:rsidRDefault="00EE1BBB" w:rsidP="00EE1BBB">
      <w:pPr>
        <w:pStyle w:val="Standard"/>
        <w:spacing w:before="756" w:line="251" w:lineRule="auto"/>
        <w:ind w:left="197" w:right="1699"/>
      </w:pPr>
      <w:r>
        <w:rPr>
          <w:color w:val="231F20"/>
          <w:sz w:val="26"/>
          <w:szCs w:val="26"/>
        </w:rPr>
        <w:t xml:space="preserve">Effect of frozen storage, different thawing methods and cooking processes on the survival of Salmonella spp. and Escherichia coli O157:H7 in commercially shaped beef patties </w:t>
      </w:r>
      <w:r>
        <w:rPr>
          <w:noProof/>
        </w:rPr>
        <w:drawing>
          <wp:anchor distT="0" distB="0" distL="114300" distR="114300" simplePos="0" relativeHeight="251661312" behindDoc="0" locked="0" layoutInCell="1" allowOverlap="1" wp14:anchorId="00D5F359" wp14:editId="2AE55D66">
            <wp:simplePos x="0" y="0"/>
            <wp:positionH relativeFrom="column">
              <wp:posOffset>5901080</wp:posOffset>
            </wp:positionH>
            <wp:positionV relativeFrom="paragraph">
              <wp:posOffset>41422</wp:posOffset>
            </wp:positionV>
            <wp:extent cx="305958" cy="305318"/>
            <wp:effectExtent l="0" t="0" r="0" b="0"/>
            <wp:wrapSquare wrapText="left"/>
            <wp:docPr id="3" name="image4.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305958" cy="305318"/>
                    </a:xfrm>
                    <a:prstGeom prst="rect">
                      <a:avLst/>
                    </a:prstGeom>
                    <a:noFill/>
                    <a:ln>
                      <a:noFill/>
                      <a:prstDash/>
                    </a:ln>
                  </pic:spPr>
                </pic:pic>
              </a:graphicData>
            </a:graphic>
          </wp:anchor>
        </w:drawing>
      </w:r>
    </w:p>
    <w:p w14:paraId="019E7929" w14:textId="77777777" w:rsidR="00EE1BBB" w:rsidRDefault="00EE1BBB" w:rsidP="00EE1BBB">
      <w:pPr>
        <w:pStyle w:val="Standard"/>
        <w:spacing w:before="135" w:line="240" w:lineRule="auto"/>
        <w:ind w:left="195"/>
      </w:pPr>
      <w:r>
        <w:rPr>
          <w:color w:val="231F20"/>
          <w:sz w:val="21"/>
          <w:szCs w:val="21"/>
        </w:rPr>
        <w:t xml:space="preserve">Stavros G. Manios </w:t>
      </w:r>
      <w:r>
        <w:rPr>
          <w:color w:val="2E3092"/>
          <w:sz w:val="24"/>
          <w:szCs w:val="24"/>
          <w:vertAlign w:val="superscript"/>
        </w:rPr>
        <w:t>a</w:t>
      </w:r>
      <w:r>
        <w:rPr>
          <w:color w:val="231F20"/>
          <w:sz w:val="24"/>
          <w:szCs w:val="24"/>
          <w:vertAlign w:val="superscript"/>
        </w:rPr>
        <w:t>,</w:t>
      </w:r>
      <w:r>
        <w:rPr>
          <w:color w:val="2E3092"/>
          <w:sz w:val="24"/>
          <w:szCs w:val="24"/>
          <w:vertAlign w:val="superscript"/>
        </w:rPr>
        <w:t>b</w:t>
      </w:r>
      <w:r>
        <w:rPr>
          <w:color w:val="231F20"/>
          <w:sz w:val="21"/>
          <w:szCs w:val="21"/>
        </w:rPr>
        <w:t xml:space="preserve">, Panagiotis N. Skandamis </w:t>
      </w:r>
      <w:r>
        <w:rPr>
          <w:color w:val="2E3092"/>
          <w:sz w:val="24"/>
          <w:szCs w:val="24"/>
          <w:vertAlign w:val="superscript"/>
        </w:rPr>
        <w:t>b</w:t>
      </w:r>
      <w:r>
        <w:rPr>
          <w:color w:val="231F20"/>
          <w:sz w:val="24"/>
          <w:szCs w:val="24"/>
          <w:vertAlign w:val="superscript"/>
        </w:rPr>
        <w:t>,</w:t>
      </w:r>
      <w:r>
        <w:rPr>
          <w:color w:val="2E3092"/>
          <w:sz w:val="23"/>
          <w:szCs w:val="23"/>
        </w:rPr>
        <w:t>⁎</w:t>
      </w:r>
    </w:p>
    <w:p w14:paraId="379AC4E7" w14:textId="77777777" w:rsidR="00EE1BBB" w:rsidRDefault="00EE1BBB" w:rsidP="00EE1BBB">
      <w:pPr>
        <w:pStyle w:val="Standard"/>
        <w:spacing w:before="108" w:line="240" w:lineRule="auto"/>
        <w:ind w:left="189"/>
      </w:pPr>
      <w:r>
        <w:rPr>
          <w:color w:val="231F20"/>
          <w:sz w:val="15"/>
          <w:szCs w:val="15"/>
          <w:vertAlign w:val="superscript"/>
        </w:rPr>
        <w:t xml:space="preserve">a </w:t>
      </w:r>
      <w:r>
        <w:rPr>
          <w:color w:val="231F20"/>
          <w:sz w:val="12"/>
          <w:szCs w:val="12"/>
        </w:rPr>
        <w:t>Cranfield University, Department of Cranfield Health, Cranfield, Bedfordshire MK43 0AL, UK</w:t>
      </w:r>
    </w:p>
    <w:p w14:paraId="4780B5CC" w14:textId="77777777" w:rsidR="00EE1BBB" w:rsidRDefault="00EE1BBB" w:rsidP="00EE1BBB">
      <w:pPr>
        <w:pStyle w:val="Standard"/>
        <w:spacing w:line="816" w:lineRule="auto"/>
        <w:ind w:left="185" w:right="1470" w:firstLine="3"/>
      </w:pPr>
      <w:r>
        <w:rPr>
          <w:color w:val="231F20"/>
          <w:sz w:val="15"/>
          <w:szCs w:val="15"/>
          <w:vertAlign w:val="superscript"/>
        </w:rPr>
        <w:t xml:space="preserve">b </w:t>
      </w:r>
      <w:r>
        <w:rPr>
          <w:color w:val="231F20"/>
          <w:sz w:val="12"/>
          <w:szCs w:val="12"/>
        </w:rPr>
        <w:t xml:space="preserve">Agricultural University of Athens, Department of Food Science &amp; Technology, Laboratory of Food Quality Control &amp; Hygiene, Iera Odos 75, GR-11855 Athens, Greece </w:t>
      </w:r>
      <w:r>
        <w:rPr>
          <w:color w:val="231F20"/>
          <w:sz w:val="17"/>
          <w:szCs w:val="17"/>
        </w:rPr>
        <w:t>article info abstract</w:t>
      </w:r>
    </w:p>
    <w:p w14:paraId="2FCB3D49" w14:textId="77777777" w:rsidR="00EE1BBB" w:rsidRDefault="00EE1BBB" w:rsidP="00EE1BBB">
      <w:pPr>
        <w:rPr>
          <w:rFonts w:cs="Mangal"/>
          <w:szCs w:val="20"/>
        </w:rPr>
        <w:sectPr w:rsidR="00EE1BBB">
          <w:pgSz w:w="11906" w:h="15860"/>
          <w:pgMar w:top="728" w:right="656" w:bottom="995" w:left="665" w:header="720" w:footer="720" w:gutter="0"/>
          <w:pgNumType w:start="1"/>
          <w:cols w:space="720"/>
        </w:sectPr>
      </w:pPr>
    </w:p>
    <w:p w14:paraId="22FADBC2" w14:textId="77777777" w:rsidR="00EE1BBB" w:rsidRDefault="00EE1BBB" w:rsidP="00EE1BBB">
      <w:pPr>
        <w:pStyle w:val="Standard"/>
        <w:spacing w:line="240" w:lineRule="auto"/>
      </w:pPr>
      <w:r>
        <w:rPr>
          <w:color w:val="231F20"/>
          <w:sz w:val="12"/>
          <w:szCs w:val="12"/>
        </w:rPr>
        <w:t>Article history:</w:t>
      </w:r>
    </w:p>
    <w:p w14:paraId="0CCD6AD6" w14:textId="77777777" w:rsidR="00EE1BBB" w:rsidRDefault="00EE1BBB" w:rsidP="00EE1BBB">
      <w:pPr>
        <w:pStyle w:val="Standard"/>
        <w:spacing w:before="22" w:line="240" w:lineRule="auto"/>
      </w:pPr>
      <w:r>
        <w:rPr>
          <w:color w:val="231F20"/>
          <w:sz w:val="12"/>
          <w:szCs w:val="12"/>
        </w:rPr>
        <w:t>Received 9 March 2014</w:t>
      </w:r>
    </w:p>
    <w:p w14:paraId="3F88408D" w14:textId="77777777" w:rsidR="00EE1BBB" w:rsidRDefault="00EE1BBB" w:rsidP="00EE1BBB">
      <w:pPr>
        <w:pStyle w:val="Standard"/>
        <w:spacing w:before="22" w:line="264" w:lineRule="auto"/>
      </w:pPr>
      <w:r>
        <w:rPr>
          <w:color w:val="231F20"/>
          <w:sz w:val="12"/>
          <w:szCs w:val="12"/>
        </w:rPr>
        <w:t>Received in revised form 10 September 2014 Accepted 25 October 2014</w:t>
      </w:r>
    </w:p>
    <w:p w14:paraId="69212C86" w14:textId="77777777" w:rsidR="00EE1BBB" w:rsidRDefault="00EE1BBB" w:rsidP="00EE1BBB">
      <w:pPr>
        <w:pStyle w:val="Standard"/>
        <w:spacing w:before="7" w:line="240" w:lineRule="auto"/>
      </w:pPr>
      <w:r>
        <w:rPr>
          <w:color w:val="231F20"/>
          <w:sz w:val="12"/>
          <w:szCs w:val="12"/>
        </w:rPr>
        <w:t>Available online 30 October 2014</w:t>
      </w:r>
    </w:p>
    <w:p w14:paraId="38B5FF93" w14:textId="77777777" w:rsidR="00EE1BBB" w:rsidRDefault="00EE1BBB" w:rsidP="00EE1BBB">
      <w:pPr>
        <w:pStyle w:val="Standard"/>
        <w:spacing w:before="209" w:line="240" w:lineRule="auto"/>
      </w:pPr>
      <w:r>
        <w:rPr>
          <w:color w:val="231F20"/>
          <w:sz w:val="12"/>
          <w:szCs w:val="12"/>
        </w:rPr>
        <w:t>Keywords:</w:t>
      </w:r>
    </w:p>
    <w:p w14:paraId="391A7DA6" w14:textId="77777777" w:rsidR="00EE1BBB" w:rsidRDefault="00EE1BBB" w:rsidP="00EE1BBB">
      <w:pPr>
        <w:pStyle w:val="Standard"/>
        <w:spacing w:before="23" w:line="240" w:lineRule="auto"/>
      </w:pPr>
      <w:r>
        <w:rPr>
          <w:color w:val="231F20"/>
          <w:sz w:val="12"/>
          <w:szCs w:val="12"/>
        </w:rPr>
        <w:t>Beef patties</w:t>
      </w:r>
    </w:p>
    <w:p w14:paraId="48531B93" w14:textId="77777777" w:rsidR="00EE1BBB" w:rsidRDefault="00EE1BBB" w:rsidP="00EE1BBB">
      <w:pPr>
        <w:pStyle w:val="Standard"/>
        <w:spacing w:before="22" w:line="240" w:lineRule="auto"/>
      </w:pPr>
      <w:r>
        <w:rPr>
          <w:color w:val="231F20"/>
          <w:sz w:val="12"/>
          <w:szCs w:val="12"/>
        </w:rPr>
        <w:t>Freezing</w:t>
      </w:r>
    </w:p>
    <w:p w14:paraId="3755C12D" w14:textId="77777777" w:rsidR="00EE1BBB" w:rsidRDefault="00EE1BBB" w:rsidP="00EE1BBB">
      <w:pPr>
        <w:pStyle w:val="Standard"/>
        <w:spacing w:before="22" w:line="240" w:lineRule="auto"/>
      </w:pPr>
      <w:r>
        <w:rPr>
          <w:color w:val="231F20"/>
          <w:sz w:val="12"/>
          <w:szCs w:val="12"/>
        </w:rPr>
        <w:t>Thawing cooking</w:t>
      </w:r>
    </w:p>
    <w:p w14:paraId="6FE0AEF7" w14:textId="77777777" w:rsidR="00EE1BBB" w:rsidRDefault="00EE1BBB" w:rsidP="00EE1BBB">
      <w:pPr>
        <w:pStyle w:val="Standard"/>
        <w:spacing w:before="22" w:line="240" w:lineRule="auto"/>
      </w:pPr>
      <w:r>
        <w:rPr>
          <w:color w:val="231F20"/>
          <w:sz w:val="12"/>
          <w:szCs w:val="12"/>
        </w:rPr>
        <w:t>Salmonella spp.</w:t>
      </w:r>
    </w:p>
    <w:p w14:paraId="19A52ED9" w14:textId="77777777" w:rsidR="00EE1BBB" w:rsidRDefault="00EE1BBB" w:rsidP="00EE1BBB">
      <w:pPr>
        <w:pStyle w:val="Standard"/>
        <w:spacing w:before="22" w:line="240" w:lineRule="auto"/>
      </w:pPr>
      <w:r>
        <w:rPr>
          <w:color w:val="231F20"/>
          <w:sz w:val="12"/>
          <w:szCs w:val="12"/>
        </w:rPr>
        <w:t>Escherichia coli O157:H7</w:t>
      </w:r>
    </w:p>
    <w:p w14:paraId="7102EAB5" w14:textId="77777777" w:rsidR="00EE1BBB" w:rsidRDefault="00EE1BBB" w:rsidP="00EE1BBB">
      <w:pPr>
        <w:pStyle w:val="Standard"/>
        <w:spacing w:before="669" w:line="240" w:lineRule="auto"/>
      </w:pPr>
      <w:r>
        <w:rPr>
          <w:color w:val="231F20"/>
          <w:sz w:val="15"/>
          <w:szCs w:val="15"/>
        </w:rPr>
        <w:t>1. Introduction</w:t>
      </w:r>
    </w:p>
    <w:p w14:paraId="17F32495" w14:textId="77777777" w:rsidR="00EE1BBB" w:rsidRDefault="00EE1BBB" w:rsidP="00EE1BBB">
      <w:pPr>
        <w:pStyle w:val="Standard"/>
        <w:spacing w:line="264" w:lineRule="auto"/>
      </w:pPr>
      <w:r>
        <w:rPr>
          <w:color w:val="231F20"/>
          <w:sz w:val="14"/>
          <w:szCs w:val="14"/>
        </w:rPr>
        <w:t>The effect of common handling practices (i.e., freezing, thawing and cooking) of beef patties on the survival of Salmonella spp. and Escherichia coli O157:H7, was evaluated. Inoculated ground beef was stored at –22 °C for 5 and 75 days. After thawing at 4 °C/16 h, 20 °C/12 h, in microwave/22–24 min, or without prior thawing, beef pat ties (90 g) were shaped and cooked in oven-broiler or in pan-grill to internal temperatures of 60 °C or 71 °C. Cooking in oven-broiler was more effective compared to pan-grill, especially when cooked to 71 °C. Defrosting methods did not affect significantly (P ≥ 0.05) the survival of the pathogens during subsequent cooking. Frozen storage for 75 days enhanced the survival of E. coli O157:H7, as the pathogen survived 3.1 logCFU/g when cooked in oven-broiler at 71 °C. Results may supplement the existing guidelines for the appropriate practices, associated with freezing, thawing and cooking of patties in households or catering services.</w:t>
      </w:r>
    </w:p>
    <w:p w14:paraId="65CF214C" w14:textId="77777777" w:rsidR="00EE1BBB" w:rsidRDefault="00EE1BBB" w:rsidP="00EE1BBB">
      <w:pPr>
        <w:pStyle w:val="Standard"/>
        <w:spacing w:before="1724" w:line="240" w:lineRule="auto"/>
      </w:pPr>
      <w:r>
        <w:rPr>
          <w:color w:val="231F20"/>
          <w:sz w:val="14"/>
          <w:szCs w:val="14"/>
        </w:rPr>
        <w:t>© 2014 Elsevier Ltd. All rights reserved.</w:t>
      </w:r>
    </w:p>
    <w:p w14:paraId="563D5127" w14:textId="77777777" w:rsidR="00EE1BBB" w:rsidRDefault="00EE1BBB" w:rsidP="00EE1BBB">
      <w:pPr>
        <w:pStyle w:val="Standard"/>
        <w:spacing w:before="826" w:line="240" w:lineRule="auto"/>
      </w:pPr>
      <w:r>
        <w:rPr>
          <w:color w:val="231F20"/>
          <w:sz w:val="15"/>
          <w:szCs w:val="15"/>
        </w:rPr>
        <w:t>room temperature on countertop is not recommended. Finally, a mini</w:t>
      </w:r>
    </w:p>
    <w:p w14:paraId="095F1844" w14:textId="77777777" w:rsidR="00EE1BBB" w:rsidRDefault="00EE1BBB" w:rsidP="00EE1BBB">
      <w:pPr>
        <w:pStyle w:val="Standard"/>
        <w:spacing w:before="22" w:line="240" w:lineRule="auto"/>
      </w:pPr>
      <w:r>
        <w:rPr>
          <w:color w:val="231F20"/>
          <w:sz w:val="15"/>
          <w:szCs w:val="15"/>
        </w:rPr>
        <w:t>mum internal temperature of 160 °F (71.1 °C) should be targeted</w:t>
      </w:r>
    </w:p>
    <w:p w14:paraId="2032AD0A" w14:textId="77777777" w:rsidR="00EE1BBB" w:rsidRDefault="00EE1BBB" w:rsidP="00EE1BBB">
      <w:pPr>
        <w:pStyle w:val="Standard"/>
        <w:spacing w:before="23" w:line="259" w:lineRule="auto"/>
        <w:ind w:right="169" w:firstLine="244"/>
        <w:jc w:val="both"/>
      </w:pPr>
      <w:r>
        <w:rPr>
          <w:color w:val="231F20"/>
          <w:sz w:val="15"/>
          <w:szCs w:val="15"/>
        </w:rPr>
        <w:t xml:space="preserve">Beef patties constitute conventional ready to cook meat products, ranked among the top most frequently consumed meat products world wide. These products may be prepared in-house from ground beef with or without the addition of other ingredients and seasonings, or they may also be found </w:t>
      </w:r>
      <w:r>
        <w:rPr>
          <w:color w:val="231F20"/>
          <w:sz w:val="15"/>
          <w:szCs w:val="15"/>
        </w:rPr>
        <w:t>available in the form of pre-shaped frozen patties, which is highly convenient for Quick Service Restaurants. Over the past decade, ground beef has been linked with several outbreaks of foodborne diseases caused by various serotypes of Salmonella spp. or Shiga-toxin producing Escherichia coli (</w:t>
      </w:r>
      <w:r>
        <w:rPr>
          <w:color w:val="2E3092"/>
          <w:sz w:val="15"/>
          <w:szCs w:val="15"/>
        </w:rPr>
        <w:t>Centers for Disease Control &amp; Prevention (CDC), 2002, 2010, 2011, 2012a, 2012b; Schneider et al., 2011; McLaughlin, Castrodale, Gardner, Rafiq, &amp; Bradford, 2006</w:t>
      </w:r>
      <w:r>
        <w:rPr>
          <w:color w:val="231F20"/>
          <w:sz w:val="15"/>
          <w:szCs w:val="15"/>
        </w:rPr>
        <w:t>). The common cause of all these outbreaks is traced to poor hygienic condi tions during production and improper handlings by the food handlers, either in the domestic environment or in restaurants. Therefore, the Food Safety Inspection Service of the U.S. Department of Agriculture (USDA-FSIS) has issued a series of specific guidelines for safe practices during storage and preparation of ground beef. Through these guide lines it is recommended that ground beef should be stored in refrigera tors for 1–2 days or in freezer up to 4 months. Before cooking, the necessary portion should be thawed in refrigerator, in microwave or under regularly changed cold water, while thawing in hot water or at</w:t>
      </w:r>
    </w:p>
    <w:p w14:paraId="53252549" w14:textId="77777777" w:rsidR="00EE1BBB" w:rsidRDefault="00EE1BBB" w:rsidP="00EE1BBB">
      <w:pPr>
        <w:pStyle w:val="Standard"/>
        <w:spacing w:before="286" w:line="266" w:lineRule="auto"/>
        <w:ind w:left="240" w:right="895" w:hanging="137"/>
      </w:pPr>
      <w:r>
        <w:rPr>
          <w:color w:val="231F20"/>
          <w:sz w:val="12"/>
          <w:szCs w:val="12"/>
        </w:rPr>
        <w:t xml:space="preserve">⁎ Corresponding author. Tel.: +30 210 5294684; fax: +30 210 529 4683. E-mail address: </w:t>
      </w:r>
      <w:r>
        <w:rPr>
          <w:color w:val="2E3092"/>
          <w:sz w:val="12"/>
          <w:szCs w:val="12"/>
        </w:rPr>
        <w:t xml:space="preserve">pskan@aua.gr </w:t>
      </w:r>
      <w:r>
        <w:rPr>
          <w:color w:val="231F20"/>
          <w:sz w:val="12"/>
          <w:szCs w:val="12"/>
        </w:rPr>
        <w:t>(P.N. Skandamis).</w:t>
      </w:r>
    </w:p>
    <w:p w14:paraId="53143464" w14:textId="77777777" w:rsidR="00EE1BBB" w:rsidRDefault="00EE1BBB" w:rsidP="00EE1BBB">
      <w:pPr>
        <w:pStyle w:val="Standard"/>
        <w:spacing w:before="391" w:line="240" w:lineRule="auto"/>
        <w:ind w:left="3"/>
      </w:pPr>
      <w:r>
        <w:rPr>
          <w:color w:val="2E3092"/>
          <w:sz w:val="12"/>
          <w:szCs w:val="12"/>
        </w:rPr>
        <w:t>http://dx.doi.org/10.1016/j.meatsci.2014.10.031</w:t>
      </w:r>
    </w:p>
    <w:p w14:paraId="492AB61F" w14:textId="77777777" w:rsidR="00EE1BBB" w:rsidRDefault="00EE1BBB" w:rsidP="00EE1BBB">
      <w:pPr>
        <w:pStyle w:val="Standard"/>
        <w:spacing w:before="22" w:line="240" w:lineRule="auto"/>
        <w:ind w:left="2"/>
      </w:pPr>
      <w:r>
        <w:rPr>
          <w:color w:val="231F20"/>
          <w:sz w:val="12"/>
          <w:szCs w:val="12"/>
        </w:rPr>
        <w:t>0309-1740/© 2014 Elsevier Ltd. All rights reserved.</w:t>
      </w:r>
    </w:p>
    <w:p w14:paraId="06999C48" w14:textId="77777777" w:rsidR="00EE1BBB" w:rsidRDefault="00EE1BBB" w:rsidP="00EE1BBB">
      <w:pPr>
        <w:pStyle w:val="Standard"/>
        <w:spacing w:line="259" w:lineRule="auto"/>
        <w:ind w:left="163" w:right="23" w:hanging="3"/>
        <w:jc w:val="both"/>
      </w:pPr>
      <w:r>
        <w:rPr>
          <w:color w:val="231F20"/>
          <w:sz w:val="15"/>
          <w:szCs w:val="15"/>
        </w:rPr>
        <w:t>when cooking beef burgers or patties by using a precise thermometer, in order to eliminate the risk of surviving pathogenic bacteria (</w:t>
      </w:r>
      <w:r>
        <w:rPr>
          <w:color w:val="2E3092"/>
          <w:sz w:val="15"/>
          <w:szCs w:val="15"/>
        </w:rPr>
        <w:t>United States Department of Agriculture—Food Safety &amp; Inspection Service, 2013a</w:t>
      </w:r>
      <w:r>
        <w:rPr>
          <w:color w:val="231F20"/>
          <w:sz w:val="15"/>
          <w:szCs w:val="15"/>
        </w:rPr>
        <w:t>). Although the type of cooking method will have different impacts on the survival of pathogens (</w:t>
      </w:r>
      <w:r>
        <w:rPr>
          <w:color w:val="2E3092"/>
          <w:sz w:val="15"/>
          <w:szCs w:val="15"/>
        </w:rPr>
        <w:t>D'Sa, Harrison, Williams, &amp; Broccoli, 2000; Rhee, Lee, Hillers, McCurdy, &amp; Kang, 2003; Shen, Geornaras, Belk, Smith, &amp; Sofos, 2011a; Shen et al., 2010</w:t>
      </w:r>
      <w:r>
        <w:rPr>
          <w:color w:val="231F20"/>
          <w:sz w:val="15"/>
          <w:szCs w:val="15"/>
        </w:rPr>
        <w:t>), no specific references have been made in the issued guidelines.</w:t>
      </w:r>
    </w:p>
    <w:p w14:paraId="4E0D218A" w14:textId="77777777" w:rsidR="00EE1BBB" w:rsidRDefault="00EE1BBB" w:rsidP="00EE1BBB">
      <w:pPr>
        <w:pStyle w:val="Standard"/>
        <w:spacing w:before="8" w:line="259" w:lineRule="auto"/>
        <w:ind w:left="159" w:right="8" w:firstLine="244"/>
        <w:jc w:val="both"/>
      </w:pPr>
      <w:r>
        <w:rPr>
          <w:color w:val="231F20"/>
          <w:sz w:val="15"/>
          <w:szCs w:val="15"/>
        </w:rPr>
        <w:t>Despite these recommendations, the storage and cooking practices being applied by the food handlers, either in households or in catering services and restaurants, are generally based on personal preferences and convenience for handling and consuming foods (</w:t>
      </w:r>
      <w:r>
        <w:rPr>
          <w:color w:val="2E3092"/>
          <w:sz w:val="15"/>
          <w:szCs w:val="15"/>
        </w:rPr>
        <w:t>Badrie, Gobin, Dookeran, &amp; Duncan, 2006; Gilbert et al., 2007; Jevšnik, Hlebec, &amp; Raspor, 2008; Karabudak, Bas, &amp; Kiziltan, 2008</w:t>
      </w:r>
      <w:r>
        <w:rPr>
          <w:color w:val="231F20"/>
          <w:sz w:val="15"/>
          <w:szCs w:val="15"/>
        </w:rPr>
        <w:t xml:space="preserve">). </w:t>
      </w:r>
      <w:r>
        <w:rPr>
          <w:color w:val="2E3092"/>
          <w:sz w:val="15"/>
          <w:szCs w:val="15"/>
        </w:rPr>
        <w:t xml:space="preserve">Phang and Bruhn (2011) </w:t>
      </w:r>
      <w:r>
        <w:rPr>
          <w:color w:val="231F20"/>
          <w:sz w:val="15"/>
          <w:szCs w:val="15"/>
        </w:rPr>
        <w:t>reported that 16% of the consumers are thawing ground beef patties on counter top, while 87% did not know the proper cooking temperature of ground beef. In the same study, 51% of the consumers reported that they use the color of patties as a criterion of doneness, with 23% preferring pink interior. However, the color in the center of cooked ground meat products may be affected by many factors other than temperature, giving false indications for the safety of the final product (</w:t>
      </w:r>
      <w:r>
        <w:rPr>
          <w:color w:val="2E3092"/>
          <w:sz w:val="15"/>
          <w:szCs w:val="15"/>
        </w:rPr>
        <w:t>King (née Turner) &amp; Whyte, 2006</w:t>
      </w:r>
      <w:r>
        <w:rPr>
          <w:color w:val="231F20"/>
          <w:sz w:val="15"/>
          <w:szCs w:val="15"/>
        </w:rPr>
        <w:t>).</w:t>
      </w:r>
    </w:p>
    <w:p w14:paraId="68CC8B7D" w14:textId="77777777" w:rsidR="00EE1BBB" w:rsidRDefault="00EE1BBB" w:rsidP="00EE1BBB">
      <w:pPr>
        <w:pStyle w:val="Standard"/>
        <w:spacing w:before="7" w:line="259" w:lineRule="auto"/>
        <w:ind w:left="173" w:right="24" w:firstLine="230"/>
      </w:pPr>
      <w:r>
        <w:rPr>
          <w:color w:val="231F20"/>
          <w:sz w:val="15"/>
          <w:szCs w:val="15"/>
        </w:rPr>
        <w:t>Many researchers have studied the single effect of frozen storage (</w:t>
      </w:r>
      <w:r>
        <w:rPr>
          <w:color w:val="2E3092"/>
          <w:sz w:val="15"/>
          <w:szCs w:val="15"/>
        </w:rPr>
        <w:t>Ansay, Darling, &amp; Kaspar, 1999; Byrne, Bolton, Sheridan, Blair, &amp;</w:t>
      </w:r>
    </w:p>
    <w:p w14:paraId="0A102AE2"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2949C5DE" w14:textId="77777777" w:rsidR="00EE1BBB" w:rsidRDefault="00EE1BBB" w:rsidP="00EE1BBB">
      <w:pPr>
        <w:pStyle w:val="Standard"/>
        <w:spacing w:line="240" w:lineRule="auto"/>
        <w:ind w:left="14"/>
      </w:pPr>
      <w:r>
        <w:rPr>
          <w:color w:val="231F20"/>
          <w:sz w:val="12"/>
          <w:szCs w:val="12"/>
        </w:rPr>
        <w:t>26 S.G. Manios, P.N. Skandamis / Meat Science 101 (2015) 25–32</w:t>
      </w:r>
    </w:p>
    <w:p w14:paraId="0E389E1C"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space="720"/>
        </w:sectPr>
      </w:pPr>
    </w:p>
    <w:p w14:paraId="2D163E16" w14:textId="77777777" w:rsidR="00EE1BBB" w:rsidRDefault="00EE1BBB" w:rsidP="00EE1BBB">
      <w:pPr>
        <w:pStyle w:val="Standard"/>
        <w:spacing w:before="236" w:line="259" w:lineRule="auto"/>
        <w:ind w:left="5" w:right="176" w:firstLine="5"/>
        <w:jc w:val="both"/>
      </w:pPr>
      <w:r>
        <w:rPr>
          <w:color w:val="2E3092"/>
          <w:sz w:val="15"/>
          <w:szCs w:val="15"/>
        </w:rPr>
        <w:lastRenderedPageBreak/>
        <w:t>McDowell, 2002</w:t>
      </w:r>
      <w:r>
        <w:rPr>
          <w:color w:val="231F20"/>
          <w:sz w:val="15"/>
          <w:szCs w:val="15"/>
        </w:rPr>
        <w:t>), different thawing (</w:t>
      </w:r>
      <w:r>
        <w:rPr>
          <w:color w:val="2E3092"/>
          <w:sz w:val="15"/>
          <w:szCs w:val="15"/>
        </w:rPr>
        <w:t>Lianou &amp; Koutsoumanis, 2009; Sage &amp; Ingham, 1998</w:t>
      </w:r>
      <w:r>
        <w:rPr>
          <w:color w:val="231F20"/>
          <w:sz w:val="15"/>
          <w:szCs w:val="15"/>
        </w:rPr>
        <w:t>), or cooking (</w:t>
      </w:r>
      <w:r>
        <w:rPr>
          <w:color w:val="2E3092"/>
          <w:sz w:val="15"/>
          <w:szCs w:val="15"/>
        </w:rPr>
        <w:t>D'Sa et al., 2000; Rhee et al., 2003</w:t>
      </w:r>
      <w:r>
        <w:rPr>
          <w:color w:val="231F20"/>
          <w:sz w:val="15"/>
          <w:szCs w:val="15"/>
        </w:rPr>
        <w:t>) methods and degree of doneness (</w:t>
      </w:r>
      <w:r>
        <w:rPr>
          <w:color w:val="2E3092"/>
          <w:sz w:val="15"/>
          <w:szCs w:val="15"/>
        </w:rPr>
        <w:t>Gill, Moza, &amp; Barbut, 2009; Passos &amp; Kuaye, 2002</w:t>
      </w:r>
      <w:r>
        <w:rPr>
          <w:color w:val="231F20"/>
          <w:sz w:val="15"/>
          <w:szCs w:val="15"/>
        </w:rPr>
        <w:t>) on the survival or heat tolerance response of pathogenic bacteria, in fresh ground meat. Heat resistance of L. monocytogenes and Salmonella Enteritidis following frozen storage and thawing has been tested at 57 °C, in cells suspended in laboratory medium (</w:t>
      </w:r>
      <w:r>
        <w:rPr>
          <w:color w:val="2E3092"/>
          <w:sz w:val="15"/>
          <w:szCs w:val="15"/>
        </w:rPr>
        <w:t>Lianou &amp; Koutsoumanis, 2009</w:t>
      </w:r>
      <w:r>
        <w:rPr>
          <w:color w:val="231F20"/>
          <w:sz w:val="15"/>
          <w:szCs w:val="15"/>
        </w:rPr>
        <w:t>) but not immobilized in the frozen/thawed ground meat sample and cooked at realistic internal temperatures. Dur ing frozen storage and thawing of beef patties, pathogens encounter various stresses, mainly associated with the temperature accepted by the cells. The exposure of microorganisms to such stresses has been found to affect their heat tolerance (</w:t>
      </w:r>
      <w:r>
        <w:rPr>
          <w:color w:val="2E3092"/>
          <w:sz w:val="15"/>
          <w:szCs w:val="15"/>
        </w:rPr>
        <w:t>Abee &amp; Wouters, 1999</w:t>
      </w:r>
      <w:r>
        <w:rPr>
          <w:color w:val="231F20"/>
          <w:sz w:val="15"/>
          <w:szCs w:val="15"/>
        </w:rPr>
        <w:t>). Therefore, it is essential to simulate the combined effect of all the common han dling practices that are being used during preparation of ground beef, on the potential of pathogens to survive the heat process during cooking. According to the above, we aimed to evaluate the single and synergistic effect of frozen storage, different thawing and cooking methods and degree of doneness of commercial-style beef patties on the survival of Salmonella spp. and E. coli O157:H7, simulating common practices used by the food handlers in households or restaurants.</w:t>
      </w:r>
    </w:p>
    <w:p w14:paraId="4958A862" w14:textId="77777777" w:rsidR="00EE1BBB" w:rsidRDefault="00EE1BBB" w:rsidP="00EE1BBB">
      <w:pPr>
        <w:pStyle w:val="Standard"/>
        <w:spacing w:before="218" w:line="240" w:lineRule="auto"/>
        <w:ind w:left="7"/>
      </w:pPr>
      <w:r>
        <w:rPr>
          <w:color w:val="231F20"/>
          <w:sz w:val="15"/>
          <w:szCs w:val="15"/>
        </w:rPr>
        <w:t>2. Materials and methods</w:t>
      </w:r>
    </w:p>
    <w:p w14:paraId="6940A1FF" w14:textId="77777777" w:rsidR="00EE1BBB" w:rsidRDefault="00EE1BBB" w:rsidP="00EE1BBB">
      <w:pPr>
        <w:pStyle w:val="Standard"/>
        <w:spacing w:before="232" w:line="240" w:lineRule="auto"/>
      </w:pPr>
      <w:r>
        <w:rPr>
          <w:color w:val="231F20"/>
          <w:sz w:val="15"/>
          <w:szCs w:val="15"/>
        </w:rPr>
        <w:t>2.1. Bacterial cultures and preparation of inocula</w:t>
      </w:r>
    </w:p>
    <w:p w14:paraId="6F93B124" w14:textId="77777777" w:rsidR="00EE1BBB" w:rsidRDefault="00EE1BBB" w:rsidP="00EE1BBB">
      <w:pPr>
        <w:pStyle w:val="Standard"/>
        <w:spacing w:before="232" w:line="256" w:lineRule="auto"/>
        <w:ind w:left="3" w:right="162" w:firstLine="239"/>
        <w:jc w:val="both"/>
      </w:pPr>
      <w:r>
        <w:rPr>
          <w:color w:val="231F20"/>
          <w:sz w:val="15"/>
          <w:szCs w:val="15"/>
        </w:rPr>
        <w:t>A five-strain composite of Salmonella spp. consisted of two strains of S. Typhimurium (calf bowel and epidemic isolates), S. Agona, S. Infantis, S. Reading (animal feeds isolates) and a three-strain composite of Escherichia coli O157:H7 (NCTC 12079, NCTC 13125, NCTC 13127) were used in the present study. All microorganisms were maintained on tryptone soy agar (TSA; LAB M, LAB011, Lancashire, UK) slants at 4 °C, which were replaced every 30 days. Each strain was activated separately by transferring a single colony from the slants into 10 ml tryptic soy broth (TSB; LAB M, LAB004) for 24 h at 37 °C, followed by a second activation step in TSB (37 °C, 18 h). Prior to inoculation, the strains were centrifuged at 3600 rpm at 4 °C for 10 min. The superna tant was rejected and the pellet was resuspended in 10 ml maximum recovery diluent (MRD; LAB M, LAB103). This washing procedure was followed twice. The washed strains were mixed equally in a sterile 100 ml—container and the strain composite of each microorganism was used for the inoculation of the samples. The level of the strain composite inoculum was 1.5 × 10</w:t>
      </w:r>
      <w:r>
        <w:rPr>
          <w:color w:val="231F20"/>
          <w:sz w:val="18"/>
          <w:szCs w:val="18"/>
          <w:vertAlign w:val="superscript"/>
        </w:rPr>
        <w:t xml:space="preserve">9 </w:t>
      </w:r>
      <w:r>
        <w:rPr>
          <w:color w:val="231F20"/>
          <w:sz w:val="15"/>
          <w:szCs w:val="15"/>
        </w:rPr>
        <w:t>CFU/ml.</w:t>
      </w:r>
    </w:p>
    <w:p w14:paraId="0FFF9570" w14:textId="77777777" w:rsidR="00EE1BBB" w:rsidRDefault="00EE1BBB" w:rsidP="00EE1BBB">
      <w:pPr>
        <w:pStyle w:val="Standard"/>
        <w:spacing w:before="218" w:line="240" w:lineRule="auto"/>
      </w:pPr>
      <w:r>
        <w:rPr>
          <w:color w:val="231F20"/>
          <w:sz w:val="15"/>
          <w:szCs w:val="15"/>
        </w:rPr>
        <w:t>2.2. Inoculation of ground beef</w:t>
      </w:r>
    </w:p>
    <w:p w14:paraId="5B1497C4" w14:textId="77777777" w:rsidR="00EE1BBB" w:rsidRDefault="00EE1BBB" w:rsidP="00EE1BBB">
      <w:pPr>
        <w:pStyle w:val="Standard"/>
        <w:spacing w:before="232" w:line="259" w:lineRule="auto"/>
        <w:ind w:left="6" w:right="162" w:firstLine="243"/>
        <w:jc w:val="both"/>
      </w:pPr>
      <w:r>
        <w:rPr>
          <w:color w:val="231F20"/>
          <w:sz w:val="15"/>
          <w:szCs w:val="15"/>
        </w:rPr>
        <w:t>Freshly produced ground beef, which contained approximately 20% fat was obtained from a local meat processing industry on the day of each experimental trial and was kept at 4 °C before inoculation. The ground beef had not been subjected to any intervention for reduction of its initial microbial load. This approach was chosen so that we avoid interference with the natural ecosystem of the samples and minimize any potential impact of decontamination on the interactions between the spoilage flora and the pathogens, especially in cases where signifi cant growth of the target organisms may occur (i.e., during defrosting at 20 °C). Portions (400 g) of ground beef was placed into a sterile stomacher bag (BagLight® PolySilk 400, BagLight®, France) and were inoculated with 5 ml of the strain composite of Salmonella spp. or E. coli</w:t>
      </w:r>
    </w:p>
    <w:p w14:paraId="400F2F3E" w14:textId="77777777" w:rsidR="00EE1BBB" w:rsidRDefault="00EE1BBB" w:rsidP="00EE1BBB">
      <w:pPr>
        <w:pStyle w:val="Standard"/>
        <w:spacing w:line="259" w:lineRule="auto"/>
        <w:ind w:left="168" w:right="16"/>
        <w:jc w:val="both"/>
      </w:pPr>
      <w:r>
        <w:rPr>
          <w:color w:val="231F20"/>
          <w:sz w:val="15"/>
          <w:szCs w:val="15"/>
        </w:rPr>
        <w:t>thawing. All 400 g samples were stored at −22 °C for 5 or 75 days, representing a short- or a long-term storage under freezing that may take place in households or catering services.</w:t>
      </w:r>
    </w:p>
    <w:p w14:paraId="21942CBA" w14:textId="77777777" w:rsidR="00EE1BBB" w:rsidRDefault="00EE1BBB" w:rsidP="00EE1BBB">
      <w:pPr>
        <w:pStyle w:val="Standard"/>
        <w:spacing w:before="217" w:line="240" w:lineRule="auto"/>
        <w:ind w:left="159"/>
      </w:pPr>
      <w:r>
        <w:rPr>
          <w:color w:val="231F20"/>
          <w:sz w:val="15"/>
          <w:szCs w:val="15"/>
        </w:rPr>
        <w:t>2.3. Thawing and cooking of beef patties</w:t>
      </w:r>
    </w:p>
    <w:p w14:paraId="4C848ED2" w14:textId="77777777" w:rsidR="00EE1BBB" w:rsidRDefault="00EE1BBB" w:rsidP="00EE1BBB">
      <w:pPr>
        <w:pStyle w:val="Standard"/>
        <w:spacing w:before="232" w:line="259" w:lineRule="auto"/>
        <w:ind w:left="165" w:right="16" w:firstLine="237"/>
        <w:jc w:val="both"/>
      </w:pPr>
      <w:r>
        <w:rPr>
          <w:color w:val="231F20"/>
          <w:sz w:val="15"/>
          <w:szCs w:val="15"/>
        </w:rPr>
        <w:t xml:space="preserve">The frozen 400 g samples of ground beef were thawed using three different methods, simulating realistic scenarios that are regularly practiced by </w:t>
      </w:r>
      <w:r>
        <w:rPr>
          <w:color w:val="231F20"/>
          <w:sz w:val="15"/>
          <w:szCs w:val="15"/>
        </w:rPr>
        <w:t>food handlers. In particular, samples were left (i) at 4 °C for 16 h, simulating thawing in a refrigerator, (ii) at 20 °C for 12 h, simulating thawing on the kitchen counter overnight or (iii) they were thawed in a commercial microwave (defrosting mode; Easy Grill, Whirlpool) for 22–24 min. After thawing, ground beef was shaped in patties (90 g; diameter 9 cm × height 1.5 ± 0.2 cm) using sterile petri dishes as matrix and they were held at the temperature reached after thawing (i.e., 4 °C for refrigerator, 20 °C for kitchen counter and microwave) for less than 30 min before cooking.</w:t>
      </w:r>
    </w:p>
    <w:p w14:paraId="1467F16C" w14:textId="77777777" w:rsidR="00EE1BBB" w:rsidRDefault="00EE1BBB" w:rsidP="00EE1BBB">
      <w:pPr>
        <w:pStyle w:val="Standard"/>
        <w:spacing w:before="8" w:line="259" w:lineRule="auto"/>
        <w:ind w:left="163" w:right="15" w:firstLine="246"/>
        <w:jc w:val="both"/>
      </w:pPr>
      <w:r>
        <w:rPr>
          <w:color w:val="231F20"/>
          <w:sz w:val="15"/>
          <w:szCs w:val="15"/>
        </w:rPr>
        <w:t>Beef patties were cooked in a commercial oven-broiler (Davoline 4503 Futura, Thessaloniki, Greece) preheated at 200 °C, or in a pan-grill (Tefal Specifics Grill Pan 26 cm, Tefal, France) at maximum power (1500 W), representing two conventional methods of cooking. Thermal application was halted when the temperature at the geometrical center of the samples reached 60 °C, simulating undercooking of patties, or 71 °C, as suggested by the USDA-FSIS. During cooking, samples were flipped over once when the internal temperature reached 35 °C, in order to avoid extensive browning of the patties surface. This tempera ture was chosen based on preliminary experiments, where thermocou ples (SE030, Pico Technology, Cambridgeshire, UK) were fitted on the top, the middle and the bottom side of the patties. Results from these trials showed that the rate of temperature increase during cooking in oven-broiler was much higher at the lower side compared to the upper side of the patties (and vice versa when cooking in pan-grill) and there fore, the final temperature at the two sides differed approximately 20 °C when the internal temperature was 60 or 71 °C. By turning the patties once, this difference was limited at approximately 3–5 °C (data not shown). For the same reason, beef patties cooked directly from the frozen form were turned twice (at 0 °C and 35 °C).</w:t>
      </w:r>
    </w:p>
    <w:p w14:paraId="72A57B9F" w14:textId="77777777" w:rsidR="00EE1BBB" w:rsidRDefault="00EE1BBB" w:rsidP="00EE1BBB">
      <w:pPr>
        <w:pStyle w:val="Standard"/>
        <w:spacing w:before="8" w:line="259" w:lineRule="auto"/>
        <w:ind w:left="163" w:right="16" w:firstLine="245"/>
        <w:jc w:val="both"/>
      </w:pPr>
      <w:r>
        <w:rPr>
          <w:color w:val="231F20"/>
          <w:sz w:val="15"/>
          <w:szCs w:val="15"/>
        </w:rPr>
        <w:t>Changes in temperature during freezing, thawing or cooking of sam ples were monitored using a time–temperature data logger (Pico-PP22, TC-08 Thermocouple Data Logger, Pico Technology, Cambridgeshire, UK) equipped with Type K thermocouples (SE030, Pico Technology, Cambridgeshire, UK). Each thermocouple was fitted from one side to the geometrical center of the ground beef block or patties before freez ing, to monitor the temperature changes during freezing and thawing. The same procedure was followed for the beef patties which were formed after thawing and were intended for cooking. Due to the small thickness of the patties, small deviations of the thermocouple from the geometrical center could significantly affect the logging of the internal temperature. Therefore, a sterile metallic wire was used to fully penetrate the patties while they remained in the petri dishes, from one precisely measured spot on the one side of the petri dish to another spot at the other side. The petri dishes were broken to remove the patties without changing the form of the patties or the position of the thermocouple. The obtained data in all cases were recorded and analyzed using the PicoLog software (ver. 5.21.9).</w:t>
      </w:r>
    </w:p>
    <w:p w14:paraId="5184763A" w14:textId="77777777" w:rsidR="00EE1BBB" w:rsidRDefault="00EE1BBB" w:rsidP="00EE1BBB">
      <w:pPr>
        <w:pStyle w:val="Standard"/>
        <w:spacing w:before="7" w:line="259" w:lineRule="auto"/>
        <w:ind w:left="170" w:right="23" w:firstLine="231"/>
      </w:pPr>
      <w:r>
        <w:rPr>
          <w:color w:val="231F20"/>
          <w:sz w:val="15"/>
          <w:szCs w:val="15"/>
        </w:rPr>
        <w:t xml:space="preserve">The F-values of each treatment were calculated according to </w:t>
      </w:r>
      <w:r>
        <w:rPr>
          <w:color w:val="2E3092"/>
          <w:sz w:val="15"/>
          <w:szCs w:val="15"/>
        </w:rPr>
        <w:t>Murphy, Beard, Martin, Keener, and Osaili (2004)</w:t>
      </w:r>
      <w:r>
        <w:rPr>
          <w:color w:val="231F20"/>
          <w:sz w:val="15"/>
          <w:szCs w:val="15"/>
        </w:rPr>
        <w:t>, using the equation:</w:t>
      </w:r>
    </w:p>
    <w:p w14:paraId="61B86576" w14:textId="77777777" w:rsidR="00EE1BBB" w:rsidRDefault="00EE1BBB" w:rsidP="00EE1BBB">
      <w:pPr>
        <w:pStyle w:val="Standard"/>
        <w:spacing w:before="93" w:line="240" w:lineRule="auto"/>
        <w:ind w:left="485"/>
      </w:pPr>
      <w:r>
        <w:rPr>
          <w:color w:val="231F20"/>
          <w:sz w:val="15"/>
          <w:szCs w:val="15"/>
        </w:rPr>
        <w:t xml:space="preserve">Z </w:t>
      </w:r>
      <w:r>
        <w:rPr>
          <w:color w:val="231F20"/>
          <w:sz w:val="18"/>
          <w:szCs w:val="18"/>
          <w:vertAlign w:val="subscript"/>
        </w:rPr>
        <w:t>t</w:t>
      </w:r>
    </w:p>
    <w:p w14:paraId="7A194A43" w14:textId="77777777" w:rsidR="00EE1BBB" w:rsidRDefault="00EE1BBB" w:rsidP="00EE1BBB">
      <w:pPr>
        <w:pStyle w:val="Standard"/>
        <w:spacing w:line="278" w:lineRule="auto"/>
      </w:pPr>
      <w:r>
        <w:rPr>
          <w:color w:val="231F20"/>
          <w:sz w:val="15"/>
          <w:szCs w:val="15"/>
        </w:rPr>
        <w:t>O157:H7 in order to yield an initial inoculation level of approximately F ¼</w:t>
      </w:r>
    </w:p>
    <w:p w14:paraId="3742E9D8" w14:textId="77777777" w:rsidR="00EE1BBB" w:rsidRDefault="00EE1BBB" w:rsidP="00EE1BBB">
      <w:pPr>
        <w:pStyle w:val="Standard"/>
        <w:spacing w:line="240" w:lineRule="auto"/>
      </w:pPr>
      <w:r>
        <w:rPr>
          <w:color w:val="231F20"/>
          <w:sz w:val="15"/>
          <w:szCs w:val="15"/>
        </w:rPr>
        <w:t>6.5–7.0 log CFU/g. The inoculated samples were mixed thoroughly by</w:t>
      </w:r>
    </w:p>
    <w:p w14:paraId="1D11E6E7" w14:textId="77777777" w:rsidR="00EE1BBB" w:rsidRDefault="00EE1BBB" w:rsidP="00EE1BBB">
      <w:pPr>
        <w:pStyle w:val="Standard"/>
        <w:spacing w:before="282" w:line="240" w:lineRule="auto"/>
      </w:pPr>
      <w:r>
        <w:rPr>
          <w:color w:val="231F20"/>
          <w:sz w:val="11"/>
          <w:szCs w:val="11"/>
        </w:rPr>
        <w:t>0</w:t>
      </w:r>
    </w:p>
    <w:p w14:paraId="52D3E0D1" w14:textId="77777777" w:rsidR="00EE1BBB" w:rsidRDefault="00EE1BBB" w:rsidP="00EE1BBB">
      <w:pPr>
        <w:pStyle w:val="Standard"/>
        <w:spacing w:before="5" w:line="240" w:lineRule="auto"/>
      </w:pPr>
      <w:r>
        <w:rPr>
          <w:color w:val="231F20"/>
          <w:sz w:val="15"/>
          <w:szCs w:val="15"/>
        </w:rPr>
        <w:t>hand-massage of the bag for 5 min and were stored at 4 °C for 30 min</w:t>
      </w:r>
    </w:p>
    <w:p w14:paraId="256494E8" w14:textId="77777777" w:rsidR="00EE1BBB" w:rsidRDefault="00EE1BBB" w:rsidP="00EE1BBB">
      <w:pPr>
        <w:pStyle w:val="Standard"/>
        <w:spacing w:before="52" w:line="240" w:lineRule="auto"/>
      </w:pPr>
      <w:r>
        <w:rPr>
          <w:color w:val="231F20"/>
          <w:sz w:val="15"/>
          <w:szCs w:val="15"/>
        </w:rPr>
        <w:t>10</w:t>
      </w:r>
      <w:r>
        <w:rPr>
          <w:color w:val="231F20"/>
          <w:sz w:val="18"/>
          <w:szCs w:val="18"/>
          <w:vertAlign w:val="superscript"/>
        </w:rPr>
        <w:t xml:space="preserve">ð Þ T tð Þ−T ref ð Þ=z </w:t>
      </w:r>
      <w:r>
        <w:rPr>
          <w:color w:val="231F20"/>
          <w:sz w:val="15"/>
          <w:szCs w:val="15"/>
        </w:rPr>
        <w:t>dt ð1Þ</w:t>
      </w:r>
    </w:p>
    <w:p w14:paraId="1EB16019" w14:textId="77777777" w:rsidR="00EE1BBB" w:rsidRDefault="00EE1BBB" w:rsidP="00EE1BBB">
      <w:pPr>
        <w:pStyle w:val="Standard"/>
        <w:spacing w:before="342" w:line="259" w:lineRule="auto"/>
        <w:ind w:right="183" w:firstLine="3"/>
        <w:jc w:val="both"/>
      </w:pPr>
      <w:r>
        <w:rPr>
          <w:color w:val="231F20"/>
          <w:sz w:val="15"/>
          <w:szCs w:val="15"/>
        </w:rPr>
        <w:t>for the attachment of the inoculum. To avoid any differences in tempera ture during freezing or thawing, a constant shape (14 × 9 × 3.5 cm) was given to each inoculated 400-g sample. In parallel, beef patties of com mercial dimensions (90 g; diameter 9 cm × height 1.5 ± 0.2 cm) were manually prepared and they were designated for cooking without prior</w:t>
      </w:r>
    </w:p>
    <w:p w14:paraId="15C0746E" w14:textId="77777777" w:rsidR="00EE1BBB" w:rsidRDefault="00EE1BBB" w:rsidP="00EE1BBB">
      <w:pPr>
        <w:pStyle w:val="Standard"/>
        <w:spacing w:line="247" w:lineRule="auto"/>
        <w:ind w:left="156" w:right="24" w:firstLine="2"/>
        <w:jc w:val="both"/>
      </w:pPr>
      <w:r>
        <w:rPr>
          <w:color w:val="231F20"/>
          <w:sz w:val="15"/>
          <w:szCs w:val="15"/>
        </w:rPr>
        <w:t>with T the temperature in the center of the beef patties at t = 0 to t=t</w:t>
      </w:r>
      <w:r>
        <w:rPr>
          <w:color w:val="231F20"/>
          <w:sz w:val="18"/>
          <w:szCs w:val="18"/>
          <w:vertAlign w:val="subscript"/>
        </w:rPr>
        <w:t xml:space="preserve">i </w:t>
      </w:r>
      <w:r>
        <w:rPr>
          <w:color w:val="231F20"/>
          <w:sz w:val="15"/>
          <w:szCs w:val="15"/>
        </w:rPr>
        <w:t xml:space="preserve">and T(ref) the reference temperature, which is a theoritical temperature at which D value should be known. In the present study, the z values by </w:t>
      </w:r>
      <w:r>
        <w:rPr>
          <w:color w:val="2E3092"/>
          <w:sz w:val="15"/>
          <w:szCs w:val="15"/>
        </w:rPr>
        <w:t xml:space="preserve">Juneja (2003) </w:t>
      </w:r>
      <w:r>
        <w:rPr>
          <w:color w:val="231F20"/>
          <w:sz w:val="15"/>
          <w:szCs w:val="15"/>
        </w:rPr>
        <w:t>in ground beef (25% fat) were used for Salmonella (z = 8.06 °C) and E. coli O157:H7 (z = 6.33 °C), while</w:t>
      </w:r>
    </w:p>
    <w:p w14:paraId="133F4F2B"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7ECCE8BA" w14:textId="77777777" w:rsidR="00EE1BBB" w:rsidRDefault="00EE1BBB" w:rsidP="00EE1BBB">
      <w:pPr>
        <w:pStyle w:val="Standard"/>
        <w:spacing w:line="240" w:lineRule="auto"/>
        <w:ind w:right="17"/>
        <w:jc w:val="right"/>
      </w:pPr>
      <w:r>
        <w:rPr>
          <w:color w:val="231F20"/>
          <w:sz w:val="12"/>
          <w:szCs w:val="12"/>
        </w:rPr>
        <w:t>S.G. Manios, P.N. Skandamis / Meat Science 101 (2015) 25–32 27</w:t>
      </w:r>
    </w:p>
    <w:p w14:paraId="16092C0C"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space="720"/>
        </w:sectPr>
      </w:pPr>
    </w:p>
    <w:p w14:paraId="78EB813A" w14:textId="77777777" w:rsidR="00EE1BBB" w:rsidRDefault="00EE1BBB" w:rsidP="00EE1BBB">
      <w:pPr>
        <w:pStyle w:val="Standard"/>
        <w:spacing w:before="236" w:line="259" w:lineRule="auto"/>
        <w:ind w:left="5" w:right="176" w:firstLine="5"/>
        <w:jc w:val="both"/>
      </w:pPr>
      <w:r>
        <w:rPr>
          <w:color w:val="231F20"/>
          <w:sz w:val="15"/>
          <w:szCs w:val="15"/>
        </w:rPr>
        <w:t>T(ref) was determined at 60 °C. This parameter was primarily used to validate the findings of the plate count method and describe mathemat ically the effect of each treatment on the survival of the pathogens. The final F-value for each treatment was calculated as the mean of four values derived from four independent samples.</w:t>
      </w:r>
    </w:p>
    <w:p w14:paraId="7DC98919" w14:textId="77777777" w:rsidR="00EE1BBB" w:rsidRDefault="00EE1BBB" w:rsidP="00EE1BBB">
      <w:pPr>
        <w:pStyle w:val="Standard"/>
        <w:spacing w:before="217" w:line="240" w:lineRule="auto"/>
      </w:pPr>
      <w:r>
        <w:rPr>
          <w:color w:val="231F20"/>
          <w:sz w:val="15"/>
          <w:szCs w:val="15"/>
        </w:rPr>
        <w:t>2.4. Microbiological analysis</w:t>
      </w:r>
    </w:p>
    <w:p w14:paraId="379D8E2D" w14:textId="77777777" w:rsidR="00EE1BBB" w:rsidRDefault="00EE1BBB" w:rsidP="00EE1BBB">
      <w:pPr>
        <w:pStyle w:val="Standard"/>
        <w:spacing w:before="232" w:line="259" w:lineRule="auto"/>
        <w:ind w:left="3" w:right="163" w:firstLine="246"/>
        <w:jc w:val="both"/>
      </w:pPr>
      <w:r>
        <w:rPr>
          <w:color w:val="231F20"/>
          <w:sz w:val="15"/>
          <w:szCs w:val="15"/>
        </w:rPr>
        <w:t xml:space="preserve">Microbiological analysis of the samples were conducted at four stages during the experimental procedure; (i) after inoculation, to determine the inoculation level, (ii) after freezing and before thawing, to evaluate the effect of freezing, (iii) after thawing, to evaluate the effect of thawing method and, (iv) after cooking, to evaluate the effect of cooking method and degree of doneness on the survival of the pathogens. In particular, at the first three stages of sampling, 25 g of ground beef was mixed with 225 ml MRD in a </w:t>
      </w:r>
      <w:r>
        <w:rPr>
          <w:color w:val="231F20"/>
          <w:sz w:val="15"/>
          <w:szCs w:val="15"/>
        </w:rPr>
        <w:lastRenderedPageBreak/>
        <w:t>stomacher for 2 min. After cooking, beef patties were immediately transferred to a sterile stomacher bag containing 200 ml MRD for immediate drop of the temperature, while MRD was added to the bag to obtain 1:5 initial dilution. The detection limit of the latter analysis was 1.7 log CFU/g. Following decimal dilutions, Salmonella spp. populations were enumer ated on xylose lysine deoxycholate agar (XLD; LAB M, LAB032) and on TSA +1% pyruvate plates after incubation at 37 °C for 24 h. The presence of pyruvate enhances the recovery of the potentially heat injured cells (</w:t>
      </w:r>
      <w:r>
        <w:rPr>
          <w:color w:val="2E3092"/>
          <w:sz w:val="15"/>
          <w:szCs w:val="15"/>
        </w:rPr>
        <w:t>Czechowicz et al., 1996</w:t>
      </w:r>
      <w:r>
        <w:rPr>
          <w:color w:val="231F20"/>
          <w:sz w:val="15"/>
          <w:szCs w:val="15"/>
        </w:rPr>
        <w:t>). Similarly, E. coli O157:H7 popu lations were inoculated on sorbitol McCockney agar (LAB M, LAB161) supplemented with cefixime tellurite (CT-SMAC; LAB M, X161) and TSA +0.6% Yeast Extract (YE; LAB M, MC001) and were incubated at 37 °C for 24 h. To ensure that the counts on the non-selective media referred to the survivors of the pathogens, representative colonies of the enumerated plates were confirmed with specific biochemical tests; (i) Latex agglutination test for Salmonella (Microgen® Salmonella rapid test, Microgen Bioproducts Ltd, UK) and (ii) indole test (Kovac's test, 60983, Sigma-Aldrich, Germany) for E. coli O157:H7, followed by streaking on sorbitol McConkey agar to ensure that the isolates do not ferment sorbitol. In parallel, the pH of the first decimal dilution (stomacher bag) and the weight of patties before and after cooking were measured, in order to monitor the effect of each specific treatment on the acidity and the total weight loses of the samples. In addition, these parameters served also as a confirmation mean for the repeatabil ity of the process.</w:t>
      </w:r>
    </w:p>
    <w:p w14:paraId="32642532" w14:textId="77777777" w:rsidR="00EE1BBB" w:rsidRDefault="00EE1BBB" w:rsidP="00EE1BBB">
      <w:pPr>
        <w:pStyle w:val="Standard"/>
        <w:spacing w:before="217" w:line="240" w:lineRule="auto"/>
      </w:pPr>
      <w:r>
        <w:rPr>
          <w:color w:val="231F20"/>
          <w:sz w:val="15"/>
          <w:szCs w:val="15"/>
        </w:rPr>
        <w:t>2.5. Statistical analysis</w:t>
      </w:r>
    </w:p>
    <w:p w14:paraId="46F3C8A1" w14:textId="77777777" w:rsidR="00EE1BBB" w:rsidRDefault="00EE1BBB" w:rsidP="00EE1BBB">
      <w:pPr>
        <w:pStyle w:val="Standard"/>
        <w:spacing w:before="232" w:line="259" w:lineRule="auto"/>
        <w:ind w:left="5" w:right="176" w:firstLine="237"/>
        <w:jc w:val="both"/>
      </w:pPr>
      <w:r>
        <w:rPr>
          <w:color w:val="231F20"/>
          <w:sz w:val="15"/>
          <w:szCs w:val="15"/>
        </w:rPr>
        <w:t>The experiment was performed twice with two independent samples analyzed per repetition (n = 4). Microbial populations of the two pathogens were converted to log CFU/g before statistical analysis. Each repetition was considered as a blocking factor in a randomized block design. The statistical analysis of mean populations of pathogens, pH changes, weight losses and F values were conducted with the Tukey honest significant difference (HSD) using the STATISTICA (StatSoft, ver.7.0, USA) statistical analysis software. In all cases, P values less than 0.05 (P b 0.05) were considered statistically significant.</w:t>
      </w:r>
    </w:p>
    <w:p w14:paraId="11649DAF" w14:textId="77777777" w:rsidR="00EE1BBB" w:rsidRDefault="00EE1BBB" w:rsidP="00EE1BBB">
      <w:pPr>
        <w:pStyle w:val="Standard"/>
        <w:spacing w:before="217" w:line="240" w:lineRule="auto"/>
        <w:ind w:left="4"/>
      </w:pPr>
      <w:r>
        <w:rPr>
          <w:color w:val="231F20"/>
          <w:sz w:val="15"/>
          <w:szCs w:val="15"/>
        </w:rPr>
        <w:t>3. Results and discussion</w:t>
      </w:r>
    </w:p>
    <w:p w14:paraId="5C020A34" w14:textId="77777777" w:rsidR="00EE1BBB" w:rsidRDefault="00EE1BBB" w:rsidP="00EE1BBB">
      <w:pPr>
        <w:pStyle w:val="Standard"/>
        <w:spacing w:before="232" w:line="240" w:lineRule="auto"/>
        <w:ind w:left="2"/>
      </w:pPr>
      <w:r>
        <w:rPr>
          <w:color w:val="231F20"/>
          <w:sz w:val="15"/>
          <w:szCs w:val="15"/>
        </w:rPr>
        <w:t>3.1. Effect of freezing and thawing</w:t>
      </w:r>
    </w:p>
    <w:p w14:paraId="554E5F9B" w14:textId="77777777" w:rsidR="00EE1BBB" w:rsidRDefault="00EE1BBB" w:rsidP="00EE1BBB">
      <w:pPr>
        <w:pStyle w:val="Standard"/>
        <w:spacing w:before="232" w:line="259" w:lineRule="auto"/>
        <w:ind w:left="6" w:right="162" w:firstLine="235"/>
        <w:jc w:val="both"/>
      </w:pPr>
      <w:r>
        <w:rPr>
          <w:color w:val="231F20"/>
          <w:sz w:val="15"/>
          <w:szCs w:val="15"/>
        </w:rPr>
        <w:t>The levels of the total indigenous microflora of the freshly produced ground beef ranged from 4.4 to 4.8 log CFU/g among the different batches which were used in the present study and thus, populations enumerated on the non-selective media before any treatment may be only attributed to the inoculated pathogens. Following inoculation of ground beef and prior to freezing, Salmonella populations were 6.8 to 7.0 log CFU/g, while E. coli O157:H7 inoculation level ranged from 6.6 to 6.8 log CFU/g (</w:t>
      </w:r>
      <w:r>
        <w:rPr>
          <w:color w:val="2E3092"/>
          <w:sz w:val="15"/>
          <w:szCs w:val="15"/>
        </w:rPr>
        <w:t>Table 1</w:t>
      </w:r>
      <w:r>
        <w:rPr>
          <w:color w:val="231F20"/>
          <w:sz w:val="15"/>
          <w:szCs w:val="15"/>
        </w:rPr>
        <w:t>). Further frozen storage (−22 °C) of samples</w:t>
      </w:r>
    </w:p>
    <w:p w14:paraId="3AB69AAB" w14:textId="77777777" w:rsidR="00EE1BBB" w:rsidRDefault="00EE1BBB" w:rsidP="00EE1BBB">
      <w:pPr>
        <w:pStyle w:val="Standard"/>
        <w:spacing w:line="259" w:lineRule="auto"/>
        <w:ind w:left="165" w:right="17" w:firstLine="5"/>
        <w:jc w:val="both"/>
      </w:pPr>
      <w:r>
        <w:rPr>
          <w:color w:val="231F20"/>
          <w:sz w:val="15"/>
          <w:szCs w:val="15"/>
        </w:rPr>
        <w:t>for 5 days caused slight but statistically significant (P b 0.05) reductions of the healthy cells of both pathogens, as Salmonella and E. coli O157:H7 populations showed decrease of 0.7 log CFU/g (</w:t>
      </w:r>
      <w:r>
        <w:rPr>
          <w:color w:val="2E3092"/>
          <w:sz w:val="15"/>
          <w:szCs w:val="15"/>
        </w:rPr>
        <w:t>Table 1</w:t>
      </w:r>
      <w:r>
        <w:rPr>
          <w:color w:val="231F20"/>
          <w:sz w:val="15"/>
          <w:szCs w:val="15"/>
        </w:rPr>
        <w:t xml:space="preserve">) on selective media. The corresponding counts on the non-selective media showed lower pathogen reductions, indicating the presence of potentially injured cells. Further storage at −22 °C up to 75 days did not cause any further reductions of the populations </w:t>
      </w:r>
      <w:r>
        <w:rPr>
          <w:color w:val="231F20"/>
          <w:sz w:val="15"/>
          <w:szCs w:val="15"/>
        </w:rPr>
        <w:t>of the two pathogens. With regards to the effect of the thawing method, the populations of the pathogens did not show any significant (P ≥ 0.05) changes when ground beef was thawed in refrigerator or in microwave, compared with the populations obtained immediately before thawing. In contrast, thawing of samples under conditions which simulate the thawing pro cedure on kitchen counter, resulted in increased populations (P b 0.05) of Salmonella and E. coli O157:H7 by 0.7 to 0.9 log CFU/g (</w:t>
      </w:r>
      <w:r>
        <w:rPr>
          <w:color w:val="2E3092"/>
          <w:sz w:val="15"/>
          <w:szCs w:val="15"/>
        </w:rPr>
        <w:t>Table 1</w:t>
      </w:r>
      <w:r>
        <w:rPr>
          <w:color w:val="231F20"/>
          <w:sz w:val="15"/>
          <w:szCs w:val="15"/>
        </w:rPr>
        <w:t>).</w:t>
      </w:r>
    </w:p>
    <w:p w14:paraId="0A587867" w14:textId="77777777" w:rsidR="00EE1BBB" w:rsidRDefault="00EE1BBB" w:rsidP="00EE1BBB">
      <w:pPr>
        <w:pStyle w:val="Standard"/>
        <w:spacing w:before="8" w:line="259" w:lineRule="auto"/>
        <w:ind w:left="164" w:right="15" w:firstLine="238"/>
        <w:jc w:val="both"/>
      </w:pPr>
      <w:r>
        <w:rPr>
          <w:color w:val="231F20"/>
          <w:sz w:val="15"/>
          <w:szCs w:val="15"/>
        </w:rPr>
        <w:t>Although freezing is not destined to reduce bacterial contamination of foods but only to halt the potential microbial proliferation (</w:t>
      </w:r>
      <w:r>
        <w:rPr>
          <w:color w:val="2E3092"/>
          <w:sz w:val="15"/>
          <w:szCs w:val="15"/>
        </w:rPr>
        <w:t>Simpson Beauchamp et al., 2010</w:t>
      </w:r>
      <w:r>
        <w:rPr>
          <w:color w:val="231F20"/>
          <w:sz w:val="15"/>
          <w:szCs w:val="15"/>
        </w:rPr>
        <w:t xml:space="preserve">), cells are exposed to stresses which may lead to reversible or non-reversible mechanical injuries. Indeed, the differences between counts of the two pathogens on the non-selective and selective media (data not shown) confirm the likelihood of injury that may occurred to the cells. </w:t>
      </w:r>
      <w:r>
        <w:rPr>
          <w:color w:val="2E3092"/>
          <w:sz w:val="15"/>
          <w:szCs w:val="15"/>
        </w:rPr>
        <w:t xml:space="preserve">Dominguez and Schaffner (2009) </w:t>
      </w:r>
      <w:r>
        <w:rPr>
          <w:color w:val="231F20"/>
          <w:sz w:val="15"/>
          <w:szCs w:val="15"/>
        </w:rPr>
        <w:t>also observed significant differences on the populations of Salmonella on XLT4 and PCA, during frozen storage of chicken products for 16 weeks, indicating potential injury of the microorganism. This injury is caused either due to metabolic damages (</w:t>
      </w:r>
      <w:r>
        <w:rPr>
          <w:color w:val="2E3092"/>
          <w:sz w:val="15"/>
          <w:szCs w:val="15"/>
        </w:rPr>
        <w:t>Ray &amp; Speck, 1973</w:t>
      </w:r>
      <w:r>
        <w:rPr>
          <w:color w:val="231F20"/>
          <w:sz w:val="15"/>
          <w:szCs w:val="15"/>
        </w:rPr>
        <w:t xml:space="preserve">) or the intracellular formation of ice crystals during rapid freezing of cells (structural damage; </w:t>
      </w:r>
      <w:r>
        <w:rPr>
          <w:color w:val="2E3092"/>
          <w:sz w:val="15"/>
          <w:szCs w:val="15"/>
        </w:rPr>
        <w:t>Mazur, 1984; Elkest &amp; Marth, 1992</w:t>
      </w:r>
      <w:r>
        <w:rPr>
          <w:color w:val="231F20"/>
          <w:sz w:val="15"/>
          <w:szCs w:val="15"/>
        </w:rPr>
        <w:t>). Structurally damaged cells of Salmonella have been reported to be unable to grow on media that contain sodium deoxycholate (</w:t>
      </w:r>
      <w:r>
        <w:rPr>
          <w:color w:val="2E3092"/>
          <w:sz w:val="15"/>
          <w:szCs w:val="15"/>
        </w:rPr>
        <w:t>Barrell, 1988</w:t>
      </w:r>
      <w:r>
        <w:rPr>
          <w:color w:val="231F20"/>
          <w:sz w:val="15"/>
          <w:szCs w:val="15"/>
        </w:rPr>
        <w:t>) such as XLD. However, although the decrease of the healthy cells of the two pathogens during freezing was significant (P b 0.05), in a biological manner it cannot be concluded that freezing is a sufficient tool for the destruction of pathogens, since these reductions are primarily attributed to the existence of injured cells which may not grow on selective media.</w:t>
      </w:r>
    </w:p>
    <w:p w14:paraId="7F0FB891" w14:textId="77777777" w:rsidR="00EE1BBB" w:rsidRDefault="00EE1BBB" w:rsidP="00EE1BBB">
      <w:pPr>
        <w:pStyle w:val="Standard"/>
        <w:spacing w:before="8" w:line="256" w:lineRule="auto"/>
        <w:ind w:left="165" w:right="17" w:firstLine="237"/>
        <w:jc w:val="both"/>
      </w:pPr>
      <w:r>
        <w:rPr>
          <w:color w:val="231F20"/>
          <w:sz w:val="15"/>
          <w:szCs w:val="15"/>
        </w:rPr>
        <w:t>Time-temperature profiles revealed that the samples which were thawed on kitchen counter (20 °C for 12 h) remained above 5 °C for approximately 7 h (</w:t>
      </w:r>
      <w:r>
        <w:rPr>
          <w:color w:val="2E3092"/>
          <w:sz w:val="15"/>
          <w:szCs w:val="15"/>
        </w:rPr>
        <w:t>Fig. 1</w:t>
      </w:r>
      <w:r>
        <w:rPr>
          <w:color w:val="231F20"/>
          <w:sz w:val="15"/>
          <w:szCs w:val="15"/>
        </w:rPr>
        <w:t>), explaining the 0.9 log CFU/g increase of the pathogens population that was observed (</w:t>
      </w:r>
      <w:r>
        <w:rPr>
          <w:color w:val="2E3092"/>
          <w:sz w:val="15"/>
          <w:szCs w:val="15"/>
        </w:rPr>
        <w:t>Table 1</w:t>
      </w:r>
      <w:r>
        <w:rPr>
          <w:color w:val="231F20"/>
          <w:sz w:val="15"/>
          <w:szCs w:val="15"/>
        </w:rPr>
        <w:t>). Such phenomenon was not evident during thawing at 4 °C (for 16 h) or in microwave because the defrosting cycle was completed within 22–24 min (</w:t>
      </w:r>
      <w:r>
        <w:rPr>
          <w:color w:val="2E3092"/>
          <w:sz w:val="15"/>
          <w:szCs w:val="15"/>
        </w:rPr>
        <w:t>Fig. 1</w:t>
      </w:r>
      <w:r>
        <w:rPr>
          <w:color w:val="231F20"/>
          <w:sz w:val="15"/>
          <w:szCs w:val="15"/>
        </w:rPr>
        <w:t>). During thawing under refrigerated conditions, the internal tem perature of the samples increased from −22 °C to approximately −2 °C within 4 h. At that point, the temperature increase rate (T</w:t>
      </w:r>
      <w:r>
        <w:rPr>
          <w:color w:val="231F20"/>
          <w:sz w:val="18"/>
          <w:szCs w:val="18"/>
          <w:vertAlign w:val="subscript"/>
        </w:rPr>
        <w:t>i</w:t>
      </w:r>
      <w:r>
        <w:rPr>
          <w:color w:val="231F20"/>
          <w:sz w:val="15"/>
          <w:szCs w:val="15"/>
        </w:rPr>
        <w:t>) de creased significantly, due to the effect of the latent heat of fusion, and remained at low levels for approximately 8–9 h, before temperature exceeded 0 °C and reached the final 4 °C. Similar were the observations during thawing in microwave with the samples remaining approxi mately 12 min close to 0 °C, before reaching 20 °C after 22–24 min in total (</w:t>
      </w:r>
      <w:r>
        <w:rPr>
          <w:color w:val="2E3092"/>
          <w:sz w:val="15"/>
          <w:szCs w:val="15"/>
        </w:rPr>
        <w:t>Fig. 1</w:t>
      </w:r>
      <w:r>
        <w:rPr>
          <w:color w:val="231F20"/>
          <w:sz w:val="15"/>
          <w:szCs w:val="15"/>
        </w:rPr>
        <w:t>). In contrast, during 12-hour thawing on counter, samples remained at temperatures ≤5 °C for only 4.5 h and then reached 20 °C within 3 h.</w:t>
      </w:r>
    </w:p>
    <w:p w14:paraId="192898E0" w14:textId="77777777" w:rsidR="00EE1BBB" w:rsidRDefault="00EE1BBB" w:rsidP="00EE1BBB">
      <w:pPr>
        <w:pStyle w:val="Standard"/>
        <w:spacing w:before="220" w:line="240" w:lineRule="auto"/>
        <w:ind w:left="161"/>
      </w:pPr>
      <w:r>
        <w:rPr>
          <w:color w:val="231F20"/>
          <w:sz w:val="15"/>
          <w:szCs w:val="15"/>
        </w:rPr>
        <w:t>3.2. Effect of cooking method and degree of doneness</w:t>
      </w:r>
    </w:p>
    <w:p w14:paraId="457D8924" w14:textId="77777777" w:rsidR="00EE1BBB" w:rsidRDefault="00EE1BBB" w:rsidP="00EE1BBB">
      <w:pPr>
        <w:pStyle w:val="Standard"/>
        <w:spacing w:before="232" w:line="259" w:lineRule="auto"/>
        <w:ind w:left="165" w:right="16" w:firstLine="237"/>
        <w:jc w:val="both"/>
      </w:pPr>
      <w:r>
        <w:rPr>
          <w:color w:val="231F20"/>
          <w:sz w:val="15"/>
          <w:szCs w:val="15"/>
        </w:rPr>
        <w:t>The mean temperature of the oven-broiler during cooking was 189 ± 17 °C, while the corresponding temperature in pan-grill was 381 ± 9 °C. Total cooking duration varied significantly (P b 0.05) with the thawing method and the cooking practice that was followed, as well as the degree of doneness of patties (</w:t>
      </w:r>
      <w:r>
        <w:rPr>
          <w:color w:val="2E3092"/>
          <w:sz w:val="15"/>
          <w:szCs w:val="15"/>
        </w:rPr>
        <w:t>Table 2</w:t>
      </w:r>
      <w:r>
        <w:rPr>
          <w:color w:val="231F20"/>
          <w:sz w:val="15"/>
          <w:szCs w:val="15"/>
        </w:rPr>
        <w:t>). In particular, cooking directly from the frozen state required significantly higher cooking times compared with samples which were cooked after thawing (</w:t>
      </w:r>
      <w:r>
        <w:rPr>
          <w:color w:val="2E3092"/>
          <w:sz w:val="15"/>
          <w:szCs w:val="15"/>
        </w:rPr>
        <w:t>Berry, 1998</w:t>
      </w:r>
      <w:r>
        <w:rPr>
          <w:color w:val="231F20"/>
          <w:sz w:val="15"/>
          <w:szCs w:val="15"/>
        </w:rPr>
        <w:t>). For instance, cooking of samples without prior thawing (internal temperature before cooking ca. −20 °C) required up to 16.34 ± 1.43 min while cooking of samples under the same conditions but after thawing in microwave (internal temperature ca. 20 °C),</w:t>
      </w:r>
    </w:p>
    <w:p w14:paraId="7C02F3A8"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184A5C1C" w14:textId="77777777" w:rsidR="00EE1BBB" w:rsidRDefault="00EE1BBB" w:rsidP="00EE1BBB">
      <w:pPr>
        <w:pStyle w:val="Standard"/>
        <w:spacing w:line="240" w:lineRule="auto"/>
        <w:ind w:left="14"/>
      </w:pPr>
      <w:r>
        <w:rPr>
          <w:color w:val="231F20"/>
          <w:sz w:val="12"/>
          <w:szCs w:val="12"/>
        </w:rPr>
        <w:t>28 S.G. Manios, P.N. Skandamis / Meat Science 101 (2015) 25–32</w:t>
      </w:r>
    </w:p>
    <w:p w14:paraId="77BC5D2F" w14:textId="77777777" w:rsidR="00EE1BBB" w:rsidRDefault="00EE1BBB" w:rsidP="00EE1BBB">
      <w:pPr>
        <w:pStyle w:val="Standard"/>
        <w:spacing w:before="250" w:line="240" w:lineRule="auto"/>
        <w:ind w:left="8"/>
      </w:pPr>
      <w:r>
        <w:rPr>
          <w:color w:val="231F20"/>
          <w:sz w:val="12"/>
          <w:szCs w:val="12"/>
        </w:rPr>
        <w:t>Table 1</w:t>
      </w:r>
    </w:p>
    <w:p w14:paraId="104FCB10" w14:textId="77777777" w:rsidR="00EE1BBB" w:rsidRDefault="00EE1BBB" w:rsidP="00EE1BBB">
      <w:pPr>
        <w:pStyle w:val="Standard"/>
        <w:spacing w:before="22" w:line="264" w:lineRule="auto"/>
        <w:ind w:left="13" w:right="187" w:firstLine="1"/>
      </w:pPr>
      <w:r>
        <w:rPr>
          <w:color w:val="231F20"/>
          <w:sz w:val="12"/>
          <w:szCs w:val="12"/>
        </w:rPr>
        <w:t>Mean population (Log CFU/g ± standard deviation) of Salmonella spp. and E. coli O157:H7, as enumerated on the selective media, after storage at −22 °C for 5 or 75 days and subsequent thawing in a household refrigerator, a microwave or on kitchen counter.</w:t>
      </w:r>
    </w:p>
    <w:p w14:paraId="602DE95F" w14:textId="77777777" w:rsidR="00EE1BBB" w:rsidRDefault="00EE1BBB" w:rsidP="00EE1BBB">
      <w:pPr>
        <w:pStyle w:val="Standard"/>
        <w:spacing w:before="127" w:line="408" w:lineRule="auto"/>
        <w:ind w:left="5199" w:right="309" w:hanging="5064"/>
      </w:pPr>
      <w:r>
        <w:rPr>
          <w:color w:val="231F20"/>
          <w:sz w:val="12"/>
          <w:szCs w:val="12"/>
        </w:rPr>
        <w:t>Pathogen Thawing method Inoculation level 5 days at −22 °C 75 days at −22 °C Before thawing After thawing Before thawing After thawing</w:t>
      </w:r>
    </w:p>
    <w:p w14:paraId="5C5EC311" w14:textId="77777777" w:rsidR="00EE1BBB" w:rsidRDefault="00EE1BBB" w:rsidP="00EE1BBB">
      <w:pPr>
        <w:pStyle w:val="Standard"/>
        <w:spacing w:before="2" w:line="230" w:lineRule="auto"/>
        <w:ind w:left="2111" w:right="407" w:hanging="1982"/>
      </w:pPr>
      <w:r>
        <w:rPr>
          <w:color w:val="231F20"/>
          <w:sz w:val="12"/>
          <w:szCs w:val="12"/>
        </w:rPr>
        <w:t xml:space="preserve">Salmonella spp. Counter 7.0 ± 0.2 </w:t>
      </w:r>
      <w:r>
        <w:rPr>
          <w:color w:val="231F20"/>
          <w:sz w:val="15"/>
          <w:szCs w:val="15"/>
          <w:vertAlign w:val="superscript"/>
        </w:rPr>
        <w:t xml:space="preserve">A </w:t>
      </w:r>
      <w:r>
        <w:rPr>
          <w:color w:val="231F20"/>
          <w:sz w:val="12"/>
          <w:szCs w:val="12"/>
        </w:rPr>
        <w:t xml:space="preserve">6.3 ± 0.3 </w:t>
      </w:r>
      <w:r>
        <w:rPr>
          <w:color w:val="231F20"/>
          <w:sz w:val="15"/>
          <w:szCs w:val="15"/>
          <w:vertAlign w:val="superscript"/>
        </w:rPr>
        <w:t xml:space="preserve">B </w:t>
      </w:r>
      <w:r>
        <w:rPr>
          <w:color w:val="231F20"/>
          <w:sz w:val="12"/>
          <w:szCs w:val="12"/>
        </w:rPr>
        <w:t xml:space="preserve">7.2 ± 0.1 </w:t>
      </w:r>
      <w:r>
        <w:rPr>
          <w:color w:val="231F20"/>
          <w:sz w:val="15"/>
          <w:szCs w:val="15"/>
          <w:vertAlign w:val="superscript"/>
        </w:rPr>
        <w:t xml:space="preserve">A </w:t>
      </w:r>
      <w:r>
        <w:rPr>
          <w:color w:val="231F20"/>
          <w:sz w:val="12"/>
          <w:szCs w:val="12"/>
        </w:rPr>
        <w:t xml:space="preserve">6.3 ± 0.1 </w:t>
      </w:r>
      <w:r>
        <w:rPr>
          <w:color w:val="231F20"/>
          <w:sz w:val="15"/>
          <w:szCs w:val="15"/>
          <w:vertAlign w:val="superscript"/>
        </w:rPr>
        <w:t xml:space="preserve">B </w:t>
      </w:r>
      <w:r>
        <w:rPr>
          <w:color w:val="231F20"/>
          <w:sz w:val="12"/>
          <w:szCs w:val="12"/>
        </w:rPr>
        <w:t xml:space="preserve">7.0 ± 0.2 </w:t>
      </w:r>
      <w:r>
        <w:rPr>
          <w:color w:val="231F20"/>
          <w:sz w:val="15"/>
          <w:szCs w:val="15"/>
          <w:vertAlign w:val="superscript"/>
        </w:rPr>
        <w:t>A</w:t>
      </w:r>
      <w:r>
        <w:rPr>
          <w:color w:val="231F20"/>
          <w:sz w:val="9"/>
          <w:szCs w:val="9"/>
        </w:rPr>
        <w:t xml:space="preserve"> </w:t>
      </w:r>
      <w:r>
        <w:rPr>
          <w:color w:val="231F20"/>
          <w:sz w:val="12"/>
          <w:szCs w:val="12"/>
        </w:rPr>
        <w:t xml:space="preserve">Refrigerator 6.8 ± 0.3 </w:t>
      </w:r>
      <w:r>
        <w:rPr>
          <w:color w:val="231F20"/>
          <w:sz w:val="15"/>
          <w:szCs w:val="15"/>
          <w:vertAlign w:val="superscript"/>
        </w:rPr>
        <w:t xml:space="preserve">A </w:t>
      </w:r>
      <w:r>
        <w:rPr>
          <w:color w:val="231F20"/>
          <w:sz w:val="12"/>
          <w:szCs w:val="12"/>
        </w:rPr>
        <w:t xml:space="preserve">6.6 ± 0.3 </w:t>
      </w:r>
      <w:r>
        <w:rPr>
          <w:color w:val="231F20"/>
          <w:sz w:val="15"/>
          <w:szCs w:val="15"/>
          <w:vertAlign w:val="superscript"/>
        </w:rPr>
        <w:t xml:space="preserve">A </w:t>
      </w:r>
      <w:r>
        <w:rPr>
          <w:color w:val="231F20"/>
          <w:sz w:val="12"/>
          <w:szCs w:val="12"/>
        </w:rPr>
        <w:t xml:space="preserve">6.9 ± 0.2 </w:t>
      </w:r>
      <w:r>
        <w:rPr>
          <w:color w:val="231F20"/>
          <w:sz w:val="15"/>
          <w:szCs w:val="15"/>
          <w:vertAlign w:val="superscript"/>
        </w:rPr>
        <w:t xml:space="preserve">A </w:t>
      </w:r>
      <w:r>
        <w:rPr>
          <w:color w:val="231F20"/>
          <w:sz w:val="12"/>
          <w:szCs w:val="12"/>
        </w:rPr>
        <w:t xml:space="preserve">6.3 ± 0.1 </w:t>
      </w:r>
      <w:r>
        <w:rPr>
          <w:color w:val="231F20"/>
          <w:sz w:val="15"/>
          <w:szCs w:val="15"/>
          <w:vertAlign w:val="superscript"/>
        </w:rPr>
        <w:t xml:space="preserve">B </w:t>
      </w:r>
      <w:r>
        <w:rPr>
          <w:color w:val="231F20"/>
          <w:sz w:val="12"/>
          <w:szCs w:val="12"/>
        </w:rPr>
        <w:t xml:space="preserve">6.6 ± 0.2 </w:t>
      </w:r>
      <w:r>
        <w:rPr>
          <w:color w:val="231F20"/>
          <w:sz w:val="15"/>
          <w:szCs w:val="15"/>
          <w:vertAlign w:val="superscript"/>
        </w:rPr>
        <w:t>AB</w:t>
      </w:r>
      <w:r>
        <w:rPr>
          <w:color w:val="231F20"/>
          <w:sz w:val="9"/>
          <w:szCs w:val="9"/>
        </w:rPr>
        <w:t xml:space="preserve"> </w:t>
      </w:r>
      <w:r>
        <w:rPr>
          <w:color w:val="231F20"/>
          <w:sz w:val="12"/>
          <w:szCs w:val="12"/>
        </w:rPr>
        <w:t xml:space="preserve">Microwave 7.0 ± 0.2 </w:t>
      </w:r>
      <w:r>
        <w:rPr>
          <w:color w:val="231F20"/>
          <w:sz w:val="15"/>
          <w:szCs w:val="15"/>
          <w:vertAlign w:val="superscript"/>
        </w:rPr>
        <w:t xml:space="preserve">A </w:t>
      </w:r>
      <w:r>
        <w:rPr>
          <w:color w:val="231F20"/>
          <w:sz w:val="12"/>
          <w:szCs w:val="12"/>
        </w:rPr>
        <w:t xml:space="preserve">6.3 ± 0.3 </w:t>
      </w:r>
      <w:r>
        <w:rPr>
          <w:color w:val="231F20"/>
          <w:sz w:val="15"/>
          <w:szCs w:val="15"/>
          <w:vertAlign w:val="superscript"/>
        </w:rPr>
        <w:t xml:space="preserve">B </w:t>
      </w:r>
      <w:r>
        <w:rPr>
          <w:color w:val="231F20"/>
          <w:sz w:val="12"/>
          <w:szCs w:val="12"/>
        </w:rPr>
        <w:t xml:space="preserve">6.6 ± 0.1 </w:t>
      </w:r>
      <w:r>
        <w:rPr>
          <w:color w:val="231F20"/>
          <w:sz w:val="15"/>
          <w:szCs w:val="15"/>
          <w:vertAlign w:val="superscript"/>
        </w:rPr>
        <w:t xml:space="preserve">B </w:t>
      </w:r>
      <w:r>
        <w:rPr>
          <w:color w:val="231F20"/>
          <w:sz w:val="12"/>
          <w:szCs w:val="12"/>
        </w:rPr>
        <w:t xml:space="preserve">6.3 ± 0.1 </w:t>
      </w:r>
      <w:r>
        <w:rPr>
          <w:color w:val="231F20"/>
          <w:sz w:val="15"/>
          <w:szCs w:val="15"/>
          <w:vertAlign w:val="superscript"/>
        </w:rPr>
        <w:t xml:space="preserve">B </w:t>
      </w:r>
      <w:r>
        <w:rPr>
          <w:color w:val="231F20"/>
          <w:sz w:val="12"/>
          <w:szCs w:val="12"/>
        </w:rPr>
        <w:t xml:space="preserve">6.7 ± 0.1 </w:t>
      </w:r>
      <w:r>
        <w:rPr>
          <w:color w:val="231F20"/>
          <w:sz w:val="15"/>
          <w:szCs w:val="15"/>
          <w:vertAlign w:val="superscript"/>
        </w:rPr>
        <w:t>A</w:t>
      </w:r>
    </w:p>
    <w:p w14:paraId="3A6E500C" w14:textId="77777777" w:rsidR="00EE1BBB" w:rsidRDefault="00EE1BBB" w:rsidP="00EE1BBB">
      <w:pPr>
        <w:pStyle w:val="Standard"/>
        <w:spacing w:before="3" w:line="230" w:lineRule="auto"/>
        <w:ind w:left="2111" w:right="460" w:hanging="1981"/>
        <w:jc w:val="both"/>
      </w:pPr>
      <w:r>
        <w:rPr>
          <w:color w:val="231F20"/>
          <w:sz w:val="12"/>
          <w:szCs w:val="12"/>
        </w:rPr>
        <w:t xml:space="preserve">Escherichia coli O157:H7 Counter 6.8 ± 0.1 </w:t>
      </w:r>
      <w:r>
        <w:rPr>
          <w:color w:val="231F20"/>
          <w:sz w:val="15"/>
          <w:szCs w:val="15"/>
          <w:vertAlign w:val="superscript"/>
        </w:rPr>
        <w:t xml:space="preserve">A </w:t>
      </w:r>
      <w:r>
        <w:rPr>
          <w:color w:val="231F20"/>
          <w:sz w:val="12"/>
          <w:szCs w:val="12"/>
        </w:rPr>
        <w:t xml:space="preserve">6.1 ± 0.2 </w:t>
      </w:r>
      <w:r>
        <w:rPr>
          <w:color w:val="231F20"/>
          <w:sz w:val="15"/>
          <w:szCs w:val="15"/>
          <w:vertAlign w:val="superscript"/>
        </w:rPr>
        <w:t xml:space="preserve">B </w:t>
      </w:r>
      <w:r>
        <w:rPr>
          <w:color w:val="231F20"/>
          <w:sz w:val="12"/>
          <w:szCs w:val="12"/>
        </w:rPr>
        <w:t xml:space="preserve">7.0 ± 0.1 </w:t>
      </w:r>
      <w:r>
        <w:rPr>
          <w:color w:val="231F20"/>
          <w:sz w:val="15"/>
          <w:szCs w:val="15"/>
          <w:vertAlign w:val="superscript"/>
        </w:rPr>
        <w:t xml:space="preserve">A </w:t>
      </w:r>
      <w:r>
        <w:rPr>
          <w:color w:val="231F20"/>
          <w:sz w:val="12"/>
          <w:szCs w:val="12"/>
        </w:rPr>
        <w:t xml:space="preserve">6.1 ± 0.1 </w:t>
      </w:r>
      <w:r>
        <w:rPr>
          <w:color w:val="231F20"/>
          <w:sz w:val="15"/>
          <w:szCs w:val="15"/>
          <w:vertAlign w:val="superscript"/>
        </w:rPr>
        <w:t xml:space="preserve">B </w:t>
      </w:r>
      <w:r>
        <w:rPr>
          <w:color w:val="231F20"/>
          <w:sz w:val="12"/>
          <w:szCs w:val="12"/>
        </w:rPr>
        <w:t xml:space="preserve">6.8 ± 0.4 </w:t>
      </w:r>
      <w:r>
        <w:rPr>
          <w:color w:val="231F20"/>
          <w:sz w:val="15"/>
          <w:szCs w:val="15"/>
          <w:vertAlign w:val="superscript"/>
        </w:rPr>
        <w:t>A</w:t>
      </w:r>
      <w:r>
        <w:rPr>
          <w:color w:val="231F20"/>
          <w:sz w:val="9"/>
          <w:szCs w:val="9"/>
        </w:rPr>
        <w:t xml:space="preserve"> </w:t>
      </w:r>
      <w:r>
        <w:rPr>
          <w:color w:val="231F20"/>
          <w:sz w:val="12"/>
          <w:szCs w:val="12"/>
        </w:rPr>
        <w:t xml:space="preserve">Refrigerator 6.6 ± 0.3 </w:t>
      </w:r>
      <w:r>
        <w:rPr>
          <w:color w:val="231F20"/>
          <w:sz w:val="15"/>
          <w:szCs w:val="15"/>
          <w:vertAlign w:val="superscript"/>
        </w:rPr>
        <w:t xml:space="preserve">A </w:t>
      </w:r>
      <w:r>
        <w:rPr>
          <w:color w:val="231F20"/>
          <w:sz w:val="12"/>
          <w:szCs w:val="12"/>
        </w:rPr>
        <w:t xml:space="preserve">5.9 ± 0.2 </w:t>
      </w:r>
      <w:r>
        <w:rPr>
          <w:color w:val="231F20"/>
          <w:sz w:val="15"/>
          <w:szCs w:val="15"/>
          <w:vertAlign w:val="superscript"/>
        </w:rPr>
        <w:t xml:space="preserve">B </w:t>
      </w:r>
      <w:r>
        <w:rPr>
          <w:color w:val="231F20"/>
          <w:sz w:val="12"/>
          <w:szCs w:val="12"/>
        </w:rPr>
        <w:t xml:space="preserve">6.3 ± 0.2 </w:t>
      </w:r>
      <w:r>
        <w:rPr>
          <w:color w:val="231F20"/>
          <w:sz w:val="15"/>
          <w:szCs w:val="15"/>
          <w:vertAlign w:val="superscript"/>
        </w:rPr>
        <w:t xml:space="preserve">A </w:t>
      </w:r>
      <w:r>
        <w:rPr>
          <w:color w:val="231F20"/>
          <w:sz w:val="12"/>
          <w:szCs w:val="12"/>
        </w:rPr>
        <w:t xml:space="preserve">6.2 ± 0.0 </w:t>
      </w:r>
      <w:r>
        <w:rPr>
          <w:color w:val="231F20"/>
          <w:sz w:val="15"/>
          <w:szCs w:val="15"/>
          <w:vertAlign w:val="superscript"/>
        </w:rPr>
        <w:t xml:space="preserve">B </w:t>
      </w:r>
      <w:r>
        <w:rPr>
          <w:color w:val="231F20"/>
          <w:sz w:val="12"/>
          <w:szCs w:val="12"/>
        </w:rPr>
        <w:t xml:space="preserve">6.5 ± 0.2 </w:t>
      </w:r>
      <w:r>
        <w:rPr>
          <w:color w:val="231F20"/>
          <w:sz w:val="15"/>
          <w:szCs w:val="15"/>
          <w:vertAlign w:val="superscript"/>
        </w:rPr>
        <w:t>A</w:t>
      </w:r>
      <w:r>
        <w:rPr>
          <w:color w:val="231F20"/>
          <w:sz w:val="9"/>
          <w:szCs w:val="9"/>
        </w:rPr>
        <w:t xml:space="preserve"> </w:t>
      </w:r>
      <w:r>
        <w:rPr>
          <w:color w:val="231F20"/>
          <w:sz w:val="12"/>
          <w:szCs w:val="12"/>
        </w:rPr>
        <w:t xml:space="preserve">Microwave 6.8 ± 0.1 </w:t>
      </w:r>
      <w:r>
        <w:rPr>
          <w:color w:val="231F20"/>
          <w:sz w:val="15"/>
          <w:szCs w:val="15"/>
          <w:vertAlign w:val="superscript"/>
        </w:rPr>
        <w:t xml:space="preserve">A </w:t>
      </w:r>
      <w:r>
        <w:rPr>
          <w:color w:val="231F20"/>
          <w:sz w:val="12"/>
          <w:szCs w:val="12"/>
        </w:rPr>
        <w:t xml:space="preserve">6.1 ± 0.2 </w:t>
      </w:r>
      <w:r>
        <w:rPr>
          <w:color w:val="231F20"/>
          <w:sz w:val="15"/>
          <w:szCs w:val="15"/>
          <w:vertAlign w:val="superscript"/>
        </w:rPr>
        <w:t xml:space="preserve">B </w:t>
      </w:r>
      <w:r>
        <w:rPr>
          <w:color w:val="231F20"/>
          <w:sz w:val="12"/>
          <w:szCs w:val="12"/>
        </w:rPr>
        <w:t xml:space="preserve">6.3 ± 0.2 </w:t>
      </w:r>
      <w:r>
        <w:rPr>
          <w:color w:val="231F20"/>
          <w:sz w:val="15"/>
          <w:szCs w:val="15"/>
          <w:vertAlign w:val="superscript"/>
        </w:rPr>
        <w:t xml:space="preserve">B </w:t>
      </w:r>
      <w:r>
        <w:rPr>
          <w:color w:val="231F20"/>
          <w:sz w:val="12"/>
          <w:szCs w:val="12"/>
        </w:rPr>
        <w:t xml:space="preserve">6.1 ± 0.1 </w:t>
      </w:r>
      <w:r>
        <w:rPr>
          <w:color w:val="231F20"/>
          <w:sz w:val="15"/>
          <w:szCs w:val="15"/>
          <w:vertAlign w:val="superscript"/>
        </w:rPr>
        <w:t xml:space="preserve">B </w:t>
      </w:r>
      <w:r>
        <w:rPr>
          <w:color w:val="231F20"/>
          <w:sz w:val="12"/>
          <w:szCs w:val="12"/>
        </w:rPr>
        <w:t xml:space="preserve">6.1 ± 0.1 </w:t>
      </w:r>
      <w:r>
        <w:rPr>
          <w:color w:val="231F20"/>
          <w:sz w:val="15"/>
          <w:szCs w:val="15"/>
          <w:vertAlign w:val="superscript"/>
        </w:rPr>
        <w:t>B</w:t>
      </w:r>
    </w:p>
    <w:p w14:paraId="3501B347" w14:textId="77777777" w:rsidR="00EE1BBB" w:rsidRDefault="00EE1BBB" w:rsidP="00EE1BBB">
      <w:pPr>
        <w:pStyle w:val="Standard"/>
        <w:spacing w:before="112" w:line="240" w:lineRule="auto"/>
        <w:ind w:left="15"/>
      </w:pPr>
      <w:r>
        <w:rPr>
          <w:color w:val="231F20"/>
          <w:sz w:val="12"/>
          <w:szCs w:val="12"/>
        </w:rPr>
        <w:t>Different letters within a row indicate statistically significant differences (P b 0.05) between populations of the two pathogens at the inoculation level and before or after thawing.</w:t>
      </w:r>
    </w:p>
    <w:p w14:paraId="1D47793F"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space="720"/>
        </w:sectPr>
      </w:pPr>
    </w:p>
    <w:p w14:paraId="5A03202E" w14:textId="77777777" w:rsidR="00EE1BBB" w:rsidRDefault="00EE1BBB" w:rsidP="00EE1BBB">
      <w:pPr>
        <w:pStyle w:val="Standard"/>
        <w:spacing w:before="284" w:line="259" w:lineRule="auto"/>
        <w:ind w:right="171" w:firstLine="2"/>
        <w:jc w:val="both"/>
      </w:pPr>
      <w:r>
        <w:rPr>
          <w:color w:val="231F20"/>
          <w:sz w:val="15"/>
          <w:szCs w:val="15"/>
        </w:rPr>
        <w:t>required 8.64 ± 0.91 min. The effectiveness of the cooking method in association with the degree of doneness on the elimination of both pathogens followed the order: oven-broiling 71 °C N pan-grill 71 °C N oven-broiling 60 °C, pan-grill 60 °C. Cooking of beef patties in the oven-broiler resulted in higher reductions of the two pathogens</w:t>
      </w:r>
    </w:p>
    <w:p w14:paraId="44F66AB0" w14:textId="77777777" w:rsidR="00EE1BBB" w:rsidRDefault="00EE1BBB" w:rsidP="00EE1BBB">
      <w:pPr>
        <w:pStyle w:val="Standard"/>
        <w:spacing w:before="220" w:line="240" w:lineRule="auto"/>
        <w:ind w:left="83"/>
      </w:pPr>
      <w:r>
        <w:rPr>
          <w:noProof/>
        </w:rPr>
        <w:lastRenderedPageBreak/>
        <w:drawing>
          <wp:inline distT="0" distB="0" distL="0" distR="0" wp14:anchorId="3C3CD125" wp14:editId="04305B8A">
            <wp:extent cx="3078327" cy="5661690"/>
            <wp:effectExtent l="0" t="0" r="7773" b="0"/>
            <wp:docPr id="4" name="image5.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078327" cy="5661690"/>
                    </a:xfrm>
                    <a:prstGeom prst="rect">
                      <a:avLst/>
                    </a:prstGeom>
                    <a:noFill/>
                    <a:ln>
                      <a:noFill/>
                      <a:prstDash/>
                    </a:ln>
                  </pic:spPr>
                </pic:pic>
              </a:graphicData>
            </a:graphic>
          </wp:inline>
        </w:drawing>
      </w:r>
    </w:p>
    <w:p w14:paraId="3C67C3F2" w14:textId="77777777" w:rsidR="00EE1BBB" w:rsidRDefault="00EE1BBB" w:rsidP="00EE1BBB">
      <w:pPr>
        <w:pStyle w:val="Standard"/>
        <w:spacing w:line="259" w:lineRule="auto"/>
        <w:ind w:left="155" w:right="23" w:firstLine="5"/>
        <w:jc w:val="both"/>
      </w:pPr>
      <w:r>
        <w:rPr>
          <w:color w:val="231F20"/>
          <w:sz w:val="15"/>
          <w:szCs w:val="15"/>
        </w:rPr>
        <w:t>compared with cooking in pan-grill (</w:t>
      </w:r>
      <w:r>
        <w:rPr>
          <w:color w:val="2E3092"/>
          <w:sz w:val="15"/>
          <w:szCs w:val="15"/>
        </w:rPr>
        <w:t>Figs. 2, 3</w:t>
      </w:r>
      <w:r>
        <w:rPr>
          <w:color w:val="231F20"/>
          <w:sz w:val="15"/>
          <w:szCs w:val="15"/>
        </w:rPr>
        <w:t>), regardless of the duration of frozen storage or the thawing method. These differences were more evident when samples were cooked at an internal tempera ture of 71 °C, as the populations of both pathogens reduced below the detection limit (0.7 log CFU/g) when cooked in the oven-broiler. Conversely, total logarithmic reductions of healthy cells after cooking in pan-grill ranged from 1.2 to 4.1 log CFU/g and 1.7 to 3.1 log CFU/g for Salmonella and E. coli O157:H7, respectively. Undercooking (final in ternal temperature 60 °C) of beef patties, which is often followed by consumers, resulted in significantly lower decrease (0.5–2.7 log CFU/ g) of the populations of the two pathogens, regardless of the cooking method (</w:t>
      </w:r>
      <w:r>
        <w:rPr>
          <w:color w:val="2E3092"/>
          <w:sz w:val="15"/>
          <w:szCs w:val="15"/>
        </w:rPr>
        <w:t>Figs. 2, 3</w:t>
      </w:r>
      <w:r>
        <w:rPr>
          <w:color w:val="231F20"/>
          <w:sz w:val="15"/>
          <w:szCs w:val="15"/>
        </w:rPr>
        <w:t>). The comparison of the populations on selective and non-selective media revealed that the extent of injury after cooking was significantly higher comparing with the injury occurred during freezing (</w:t>
      </w:r>
      <w:r>
        <w:rPr>
          <w:color w:val="2E3092"/>
          <w:sz w:val="15"/>
          <w:szCs w:val="15"/>
        </w:rPr>
        <w:t>Figs. 2, 3</w:t>
      </w:r>
      <w:r>
        <w:rPr>
          <w:color w:val="231F20"/>
          <w:sz w:val="15"/>
          <w:szCs w:val="15"/>
        </w:rPr>
        <w:t xml:space="preserve">). The higher pathogen killing achieved by cooking in oven-broiler in comparison with pan-grill was also confirmed by the calculated thermal process lethality (F value; </w:t>
      </w:r>
      <w:r>
        <w:rPr>
          <w:color w:val="2E3092"/>
          <w:sz w:val="15"/>
          <w:szCs w:val="15"/>
        </w:rPr>
        <w:t>Tables 3, 4</w:t>
      </w:r>
      <w:r>
        <w:rPr>
          <w:color w:val="231F20"/>
          <w:sz w:val="15"/>
          <w:szCs w:val="15"/>
        </w:rPr>
        <w:t>). Indeed, F-values after cooking in oven-broiler at 71 °C were significantly higher compared with cooking in pan-grill at 71 °C, while cooking at an inter nal target temperature of 60 °C showed the lowest F-values regardless of the cooking method. On the contrary, the method which was follow ed for the thawing of beef patties did not have any significant (P ≥ 0.05) impact on the final thermal process lethality (</w:t>
      </w:r>
      <w:r>
        <w:rPr>
          <w:color w:val="2E3092"/>
          <w:sz w:val="15"/>
          <w:szCs w:val="15"/>
        </w:rPr>
        <w:t>Tables 3, 4</w:t>
      </w:r>
      <w:r>
        <w:rPr>
          <w:color w:val="231F20"/>
          <w:sz w:val="15"/>
          <w:szCs w:val="15"/>
        </w:rPr>
        <w:t>).</w:t>
      </w:r>
    </w:p>
    <w:p w14:paraId="73D4E4DE" w14:textId="77777777" w:rsidR="00EE1BBB" w:rsidRDefault="00EE1BBB" w:rsidP="00EE1BBB">
      <w:pPr>
        <w:pStyle w:val="Standard"/>
        <w:spacing w:before="7" w:line="259" w:lineRule="auto"/>
        <w:ind w:left="157" w:right="25" w:firstLine="237"/>
        <w:jc w:val="both"/>
      </w:pPr>
      <w:r>
        <w:rPr>
          <w:color w:val="231F20"/>
          <w:sz w:val="15"/>
          <w:szCs w:val="15"/>
        </w:rPr>
        <w:t>The impact of various cooking methods on the survival of pathogens has been widely studied in the literature (</w:t>
      </w:r>
      <w:r>
        <w:rPr>
          <w:color w:val="2E3092"/>
          <w:sz w:val="15"/>
          <w:szCs w:val="15"/>
        </w:rPr>
        <w:t>D'Sa et al., 2000; Rhee et al., 2003; Shen et al., 2011a</w:t>
      </w:r>
      <w:r>
        <w:rPr>
          <w:color w:val="231F20"/>
          <w:sz w:val="15"/>
          <w:szCs w:val="15"/>
        </w:rPr>
        <w:t xml:space="preserve">). Our findings lead to similar conclusions to those suggested by the observations of </w:t>
      </w:r>
      <w:r>
        <w:rPr>
          <w:color w:val="2E3092"/>
          <w:sz w:val="15"/>
          <w:szCs w:val="15"/>
        </w:rPr>
        <w:t>Shen et al. (2010)</w:t>
      </w:r>
      <w:r>
        <w:rPr>
          <w:color w:val="231F20"/>
          <w:sz w:val="15"/>
          <w:szCs w:val="15"/>
        </w:rPr>
        <w:t>, who reported that roasting, i.e., a cooking method comparable to the oven-broiling method, of non-intact beefsteaks caused higher reductions of E. coli O157:H7 compared with pan-broiling. Given that cooking in pan-grill was a more intense and rapid procedure than oven-broiling, the effectiveness of each cooking method and degree of doneness could be possibly explained by the total duration of each cooking type (</w:t>
      </w:r>
      <w:r>
        <w:rPr>
          <w:color w:val="2E3092"/>
          <w:sz w:val="15"/>
          <w:szCs w:val="15"/>
        </w:rPr>
        <w:t>Skandamis, Yoon, Stopforth, Kendall, &amp; Sofos, 2008</w:t>
      </w:r>
      <w:r>
        <w:rPr>
          <w:color w:val="231F20"/>
          <w:sz w:val="15"/>
          <w:szCs w:val="15"/>
        </w:rPr>
        <w:t>). However, if only cooking time was responsible for the destruction of the pathogens, then higher reductions should also be expected during cooking of frozen sam ples compared with the thawed samples. In contrast, cooking processes incorporate a wide range of gradually increasing temperatures, including</w:t>
      </w:r>
    </w:p>
    <w:p w14:paraId="495CFD34" w14:textId="77777777" w:rsidR="00EE1BBB" w:rsidRDefault="00EE1BBB" w:rsidP="00EE1BBB">
      <w:pPr>
        <w:pStyle w:val="Standard"/>
        <w:spacing w:before="353" w:line="240" w:lineRule="auto"/>
        <w:ind w:left="153"/>
      </w:pPr>
      <w:r>
        <w:rPr>
          <w:color w:val="231F20"/>
          <w:sz w:val="12"/>
          <w:szCs w:val="12"/>
        </w:rPr>
        <w:t>Table 2</w:t>
      </w:r>
    </w:p>
    <w:p w14:paraId="0F6A84BE" w14:textId="77777777" w:rsidR="00EE1BBB" w:rsidRDefault="00EE1BBB" w:rsidP="00EE1BBB">
      <w:pPr>
        <w:pStyle w:val="Standard"/>
        <w:spacing w:before="22" w:line="264" w:lineRule="auto"/>
        <w:ind w:left="159" w:right="28" w:hanging="5"/>
        <w:jc w:val="both"/>
      </w:pPr>
      <w:r>
        <w:rPr>
          <w:color w:val="231F20"/>
          <w:sz w:val="12"/>
          <w:szCs w:val="12"/>
        </w:rPr>
        <w:t>Total duration (minutes) of thermal process during cooking of 90 g beef patties in the ov en-broiler or in pan-grill, up to two degrees of doneness, and after thawing with four dif ferent methods.</w:t>
      </w:r>
    </w:p>
    <w:p w14:paraId="04732021"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4FA440D1" w14:textId="77777777" w:rsidR="00EE1BBB" w:rsidRDefault="00EE1BBB" w:rsidP="00EE1BBB">
      <w:pPr>
        <w:pStyle w:val="Standard"/>
        <w:spacing w:before="127" w:line="240" w:lineRule="auto"/>
      </w:pPr>
      <w:r>
        <w:rPr>
          <w:color w:val="231F20"/>
          <w:sz w:val="12"/>
          <w:szCs w:val="12"/>
        </w:rPr>
        <w:t>Thawing</w:t>
      </w:r>
    </w:p>
    <w:p w14:paraId="6B577FEB" w14:textId="77777777" w:rsidR="00EE1BBB" w:rsidRDefault="00EE1BBB" w:rsidP="00EE1BBB">
      <w:pPr>
        <w:pStyle w:val="Standard"/>
        <w:spacing w:line="240" w:lineRule="auto"/>
      </w:pPr>
      <w:r>
        <w:rPr>
          <w:color w:val="231F20"/>
          <w:sz w:val="12"/>
          <w:szCs w:val="12"/>
        </w:rPr>
        <w:t>Cooking time (min)</w:t>
      </w:r>
    </w:p>
    <w:p w14:paraId="16D34D17"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4" w:space="0"/>
            <w:col w:w="5291" w:space="0"/>
          </w:cols>
        </w:sectPr>
      </w:pPr>
    </w:p>
    <w:p w14:paraId="4341226E" w14:textId="77777777" w:rsidR="00EE1BBB" w:rsidRDefault="00EE1BBB" w:rsidP="00EE1BBB">
      <w:pPr>
        <w:pStyle w:val="Standard"/>
        <w:spacing w:before="22" w:line="240" w:lineRule="auto"/>
      </w:pPr>
      <w:r>
        <w:rPr>
          <w:color w:val="231F20"/>
          <w:sz w:val="12"/>
          <w:szCs w:val="12"/>
        </w:rPr>
        <w:t>practice</w:t>
      </w:r>
    </w:p>
    <w:p w14:paraId="34D29CD8" w14:textId="77777777" w:rsidR="00EE1BBB" w:rsidRDefault="00EE1BBB" w:rsidP="00EE1BBB">
      <w:pPr>
        <w:pStyle w:val="Standard"/>
        <w:spacing w:before="89" w:line="264" w:lineRule="auto"/>
      </w:pPr>
      <w:r>
        <w:rPr>
          <w:color w:val="231F20"/>
          <w:sz w:val="12"/>
          <w:szCs w:val="12"/>
        </w:rPr>
        <w:t>Oven-broiler— 71 °C</w:t>
      </w:r>
    </w:p>
    <w:p w14:paraId="0ED7DDDE" w14:textId="77777777" w:rsidR="00EE1BBB" w:rsidRDefault="00EE1BBB" w:rsidP="00EE1BBB">
      <w:pPr>
        <w:pStyle w:val="Standard"/>
        <w:spacing w:before="89" w:line="264" w:lineRule="auto"/>
      </w:pPr>
      <w:r>
        <w:rPr>
          <w:color w:val="231F20"/>
          <w:sz w:val="12"/>
          <w:szCs w:val="12"/>
        </w:rPr>
        <w:t>Pan-grill— 71 °C</w:t>
      </w:r>
    </w:p>
    <w:p w14:paraId="0A67477F" w14:textId="77777777" w:rsidR="00EE1BBB" w:rsidRDefault="00EE1BBB" w:rsidP="00EE1BBB">
      <w:pPr>
        <w:pStyle w:val="Standard"/>
        <w:spacing w:before="89" w:line="264" w:lineRule="auto"/>
      </w:pPr>
      <w:r>
        <w:rPr>
          <w:color w:val="231F20"/>
          <w:sz w:val="12"/>
          <w:szCs w:val="12"/>
        </w:rPr>
        <w:t>Oven-broiler— 60 °C</w:t>
      </w:r>
    </w:p>
    <w:p w14:paraId="372E8F4E" w14:textId="77777777" w:rsidR="00EE1BBB" w:rsidRDefault="00EE1BBB" w:rsidP="00EE1BBB">
      <w:pPr>
        <w:pStyle w:val="Standard"/>
        <w:spacing w:before="89" w:line="264" w:lineRule="auto"/>
      </w:pPr>
      <w:r>
        <w:rPr>
          <w:color w:val="231F20"/>
          <w:sz w:val="12"/>
          <w:szCs w:val="12"/>
        </w:rPr>
        <w:t>Pan-grill— 60 °C</w:t>
      </w:r>
    </w:p>
    <w:p w14:paraId="103C77B5"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5" w:space="720" w:equalWidth="0">
            <w:col w:w="2118" w:space="0"/>
            <w:col w:w="2118" w:space="0"/>
            <w:col w:w="2118" w:space="0"/>
            <w:col w:w="2118" w:space="0"/>
            <w:col w:w="2114" w:space="0"/>
          </w:cols>
        </w:sectPr>
      </w:pPr>
    </w:p>
    <w:p w14:paraId="7AC92275" w14:textId="77777777" w:rsidR="00EE1BBB" w:rsidRDefault="00EE1BBB" w:rsidP="00EE1BBB">
      <w:pPr>
        <w:pStyle w:val="Standard"/>
        <w:spacing w:before="701" w:line="264" w:lineRule="auto"/>
        <w:ind w:right="181"/>
        <w:jc w:val="both"/>
      </w:pPr>
      <w:r>
        <w:rPr>
          <w:color w:val="231F20"/>
          <w:sz w:val="12"/>
          <w:szCs w:val="12"/>
        </w:rPr>
        <w:t>Fig. 1. Changes of temperature during thawing of ground beef blocks (400 g) on counter (A; 20 °C for 12 h), in refrigerator (B; 4 °C for 16 h) or in microwave (C; defrosting mode for 22–24 min). Each point represents the mean (± standard deviation) of 8 independent samples.</w:t>
      </w:r>
    </w:p>
    <w:p w14:paraId="113BDC31" w14:textId="77777777" w:rsidR="00EE1BBB" w:rsidRDefault="00EE1BBB" w:rsidP="00EE1BBB">
      <w:pPr>
        <w:pStyle w:val="Standard"/>
        <w:spacing w:line="230" w:lineRule="auto"/>
        <w:ind w:left="281" w:right="147"/>
        <w:jc w:val="both"/>
      </w:pPr>
      <w:r>
        <w:rPr>
          <w:color w:val="231F20"/>
          <w:sz w:val="12"/>
          <w:szCs w:val="12"/>
        </w:rPr>
        <w:t>Counter 9.43 ± 0.67</w:t>
      </w:r>
      <w:r>
        <w:rPr>
          <w:color w:val="231F20"/>
          <w:sz w:val="15"/>
          <w:szCs w:val="15"/>
          <w:vertAlign w:val="superscript"/>
        </w:rPr>
        <w:t xml:space="preserve">BCa </w:t>
      </w:r>
      <w:r>
        <w:rPr>
          <w:color w:val="231F20"/>
          <w:sz w:val="12"/>
          <w:szCs w:val="12"/>
        </w:rPr>
        <w:t>6.08 ± 0.99</w:t>
      </w:r>
      <w:r>
        <w:rPr>
          <w:color w:val="231F20"/>
          <w:sz w:val="15"/>
          <w:szCs w:val="15"/>
          <w:vertAlign w:val="superscript"/>
        </w:rPr>
        <w:t xml:space="preserve">BCb </w:t>
      </w:r>
      <w:r>
        <w:rPr>
          <w:color w:val="231F20"/>
          <w:sz w:val="12"/>
          <w:szCs w:val="12"/>
        </w:rPr>
        <w:t>7.29 ± 0.56</w:t>
      </w:r>
      <w:r>
        <w:rPr>
          <w:color w:val="231F20"/>
          <w:sz w:val="15"/>
          <w:szCs w:val="15"/>
          <w:vertAlign w:val="superscript"/>
        </w:rPr>
        <w:t xml:space="preserve">BCb </w:t>
      </w:r>
      <w:r>
        <w:rPr>
          <w:color w:val="231F20"/>
          <w:sz w:val="12"/>
          <w:szCs w:val="12"/>
        </w:rPr>
        <w:t>3.89 ± 0.75</w:t>
      </w:r>
      <w:r>
        <w:rPr>
          <w:color w:val="231F20"/>
          <w:sz w:val="15"/>
          <w:szCs w:val="15"/>
          <w:vertAlign w:val="superscript"/>
        </w:rPr>
        <w:t>Cc</w:t>
      </w:r>
      <w:r>
        <w:rPr>
          <w:color w:val="231F20"/>
          <w:sz w:val="9"/>
          <w:szCs w:val="9"/>
        </w:rPr>
        <w:t xml:space="preserve"> </w:t>
      </w:r>
      <w:r>
        <w:rPr>
          <w:color w:val="231F20"/>
          <w:sz w:val="12"/>
          <w:szCs w:val="12"/>
        </w:rPr>
        <w:t>Refrigerator 10.29 ± 0.85</w:t>
      </w:r>
      <w:r>
        <w:rPr>
          <w:color w:val="231F20"/>
          <w:sz w:val="15"/>
          <w:szCs w:val="15"/>
          <w:vertAlign w:val="superscript"/>
        </w:rPr>
        <w:t xml:space="preserve">Ba </w:t>
      </w:r>
      <w:r>
        <w:rPr>
          <w:color w:val="231F20"/>
          <w:sz w:val="12"/>
          <w:szCs w:val="12"/>
        </w:rPr>
        <w:t>7.19 ± 0.62</w:t>
      </w:r>
      <w:r>
        <w:rPr>
          <w:color w:val="231F20"/>
          <w:sz w:val="15"/>
          <w:szCs w:val="15"/>
          <w:vertAlign w:val="superscript"/>
        </w:rPr>
        <w:t xml:space="preserve">Bbc </w:t>
      </w:r>
      <w:r>
        <w:rPr>
          <w:color w:val="231F20"/>
          <w:sz w:val="12"/>
          <w:szCs w:val="12"/>
        </w:rPr>
        <w:t>8.36 ± 0.89</w:t>
      </w:r>
      <w:r>
        <w:rPr>
          <w:color w:val="231F20"/>
          <w:sz w:val="15"/>
          <w:szCs w:val="15"/>
          <w:vertAlign w:val="superscript"/>
        </w:rPr>
        <w:t xml:space="preserve">Bb </w:t>
      </w:r>
      <w:r>
        <w:rPr>
          <w:color w:val="231F20"/>
          <w:sz w:val="12"/>
          <w:szCs w:val="12"/>
        </w:rPr>
        <w:t>5.73 ± 0.95</w:t>
      </w:r>
      <w:r>
        <w:rPr>
          <w:color w:val="231F20"/>
          <w:sz w:val="15"/>
          <w:szCs w:val="15"/>
          <w:vertAlign w:val="superscript"/>
        </w:rPr>
        <w:t>Bc</w:t>
      </w:r>
      <w:r>
        <w:rPr>
          <w:color w:val="231F20"/>
          <w:sz w:val="9"/>
          <w:szCs w:val="9"/>
        </w:rPr>
        <w:t xml:space="preserve"> </w:t>
      </w:r>
      <w:r>
        <w:rPr>
          <w:color w:val="231F20"/>
          <w:sz w:val="12"/>
          <w:szCs w:val="12"/>
        </w:rPr>
        <w:t>Microwave 8.64 ± 0.91</w:t>
      </w:r>
      <w:r>
        <w:rPr>
          <w:color w:val="231F20"/>
          <w:sz w:val="15"/>
          <w:szCs w:val="15"/>
          <w:vertAlign w:val="superscript"/>
        </w:rPr>
        <w:t xml:space="preserve">Ca </w:t>
      </w:r>
      <w:r>
        <w:rPr>
          <w:color w:val="231F20"/>
          <w:sz w:val="12"/>
          <w:szCs w:val="12"/>
        </w:rPr>
        <w:t>5.18 ± 1.36</w:t>
      </w:r>
      <w:r>
        <w:rPr>
          <w:color w:val="231F20"/>
          <w:sz w:val="15"/>
          <w:szCs w:val="15"/>
          <w:vertAlign w:val="superscript"/>
        </w:rPr>
        <w:t xml:space="preserve">Cbc </w:t>
      </w:r>
      <w:r>
        <w:rPr>
          <w:color w:val="231F20"/>
          <w:sz w:val="12"/>
          <w:szCs w:val="12"/>
        </w:rPr>
        <w:t>6.32 ± 0.40</w:t>
      </w:r>
      <w:r>
        <w:rPr>
          <w:color w:val="231F20"/>
          <w:sz w:val="15"/>
          <w:szCs w:val="15"/>
          <w:vertAlign w:val="superscript"/>
        </w:rPr>
        <w:t xml:space="preserve">Cb </w:t>
      </w:r>
      <w:r>
        <w:rPr>
          <w:color w:val="231F20"/>
          <w:sz w:val="12"/>
          <w:szCs w:val="12"/>
        </w:rPr>
        <w:t>3.32 ± 0.63</w:t>
      </w:r>
      <w:r>
        <w:rPr>
          <w:color w:val="231F20"/>
          <w:sz w:val="15"/>
          <w:szCs w:val="15"/>
          <w:vertAlign w:val="superscript"/>
        </w:rPr>
        <w:t>Cc</w:t>
      </w:r>
      <w:r>
        <w:rPr>
          <w:color w:val="231F20"/>
          <w:sz w:val="9"/>
          <w:szCs w:val="9"/>
        </w:rPr>
        <w:t xml:space="preserve"> </w:t>
      </w:r>
      <w:r>
        <w:rPr>
          <w:color w:val="231F20"/>
          <w:sz w:val="12"/>
          <w:szCs w:val="12"/>
        </w:rPr>
        <w:t>No thawing 16.34 ± 1.43</w:t>
      </w:r>
      <w:r>
        <w:rPr>
          <w:color w:val="231F20"/>
          <w:sz w:val="15"/>
          <w:szCs w:val="15"/>
          <w:vertAlign w:val="superscript"/>
        </w:rPr>
        <w:t xml:space="preserve">Aa </w:t>
      </w:r>
      <w:r>
        <w:rPr>
          <w:color w:val="231F20"/>
          <w:sz w:val="12"/>
          <w:szCs w:val="12"/>
        </w:rPr>
        <w:t>9.7 ± 0.21</w:t>
      </w:r>
      <w:r>
        <w:rPr>
          <w:color w:val="231F20"/>
          <w:sz w:val="15"/>
          <w:szCs w:val="15"/>
          <w:vertAlign w:val="superscript"/>
        </w:rPr>
        <w:t xml:space="preserve">Ac </w:t>
      </w:r>
      <w:r>
        <w:rPr>
          <w:color w:val="231F20"/>
          <w:sz w:val="12"/>
          <w:szCs w:val="12"/>
        </w:rPr>
        <w:t>13.93 ± 1.02</w:t>
      </w:r>
      <w:r>
        <w:rPr>
          <w:color w:val="231F20"/>
          <w:sz w:val="15"/>
          <w:szCs w:val="15"/>
          <w:vertAlign w:val="superscript"/>
        </w:rPr>
        <w:t xml:space="preserve">Ab </w:t>
      </w:r>
      <w:r>
        <w:rPr>
          <w:color w:val="231F20"/>
          <w:sz w:val="12"/>
          <w:szCs w:val="12"/>
        </w:rPr>
        <w:t>8.26 ± 0.33</w:t>
      </w:r>
      <w:r>
        <w:rPr>
          <w:color w:val="231F20"/>
          <w:sz w:val="15"/>
          <w:szCs w:val="15"/>
          <w:vertAlign w:val="superscript"/>
        </w:rPr>
        <w:t>Ad</w:t>
      </w:r>
    </w:p>
    <w:p w14:paraId="407AF6AD" w14:textId="77777777" w:rsidR="00EE1BBB" w:rsidRDefault="00EE1BBB" w:rsidP="00EE1BBB">
      <w:pPr>
        <w:pStyle w:val="Standard"/>
        <w:spacing w:before="113" w:line="264" w:lineRule="auto"/>
        <w:ind w:left="161" w:right="24"/>
        <w:jc w:val="both"/>
      </w:pPr>
      <w:r>
        <w:rPr>
          <w:color w:val="231F20"/>
          <w:sz w:val="12"/>
          <w:szCs w:val="12"/>
        </w:rPr>
        <w:t>Mean values with different upper case letters within a column are statistically different (P b 0.05). Mean values with different lower case letters within a row are statistically different (P b 0.05).</w:t>
      </w:r>
    </w:p>
    <w:p w14:paraId="48563180"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2DB5CF7F" w14:textId="77777777" w:rsidR="00EE1BBB" w:rsidRDefault="00EE1BBB" w:rsidP="00EE1BBB">
      <w:pPr>
        <w:pStyle w:val="Standard"/>
        <w:spacing w:line="240" w:lineRule="auto"/>
        <w:ind w:right="15"/>
        <w:jc w:val="right"/>
      </w:pPr>
      <w:r>
        <w:rPr>
          <w:color w:val="231F20"/>
          <w:sz w:val="12"/>
          <w:szCs w:val="12"/>
        </w:rPr>
        <w:t>S.G. Manios, P.N. Skandamis / Meat Science 101 (2015) 25–32 29</w:t>
      </w:r>
    </w:p>
    <w:p w14:paraId="32E6065E" w14:textId="77777777" w:rsidR="00EE1BBB" w:rsidRDefault="00EE1BBB" w:rsidP="00EE1BBB">
      <w:pPr>
        <w:pStyle w:val="Standard"/>
        <w:spacing w:before="186" w:line="240" w:lineRule="auto"/>
        <w:ind w:right="58"/>
        <w:jc w:val="right"/>
      </w:pPr>
      <w:r>
        <w:rPr>
          <w:noProof/>
        </w:rPr>
        <w:lastRenderedPageBreak/>
        <w:drawing>
          <wp:inline distT="0" distB="0" distL="0" distR="0" wp14:anchorId="4E3465E5" wp14:editId="4B35D4D6">
            <wp:extent cx="6532199" cy="4366808"/>
            <wp:effectExtent l="0" t="0" r="1951" b="0"/>
            <wp:docPr id="5"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6532199" cy="4366808"/>
                    </a:xfrm>
                    <a:prstGeom prst="rect">
                      <a:avLst/>
                    </a:prstGeom>
                    <a:noFill/>
                    <a:ln>
                      <a:noFill/>
                      <a:prstDash/>
                    </a:ln>
                  </pic:spPr>
                </pic:pic>
              </a:graphicData>
            </a:graphic>
          </wp:inline>
        </w:drawing>
      </w:r>
    </w:p>
    <w:p w14:paraId="3D8F05B6" w14:textId="77777777" w:rsidR="00EE1BBB" w:rsidRDefault="00EE1BBB" w:rsidP="00EE1BBB">
      <w:pPr>
        <w:pStyle w:val="Standard"/>
        <w:spacing w:line="264" w:lineRule="auto"/>
        <w:ind w:left="190" w:right="10" w:hanging="1"/>
        <w:jc w:val="both"/>
      </w:pPr>
      <w:r>
        <w:rPr>
          <w:color w:val="231F20"/>
          <w:sz w:val="12"/>
          <w:szCs w:val="12"/>
        </w:rPr>
        <w:t>Fig. 2. Logarithmic reductions of Salmonella spp. (i: counts on TSA + 1% pyruvate; ii: counts on XLD) in beef patties after storage at −22 °C for 5 (A) or 75 days (B), thawing with four different methods (counter, refrigerator, microwave, no thawing) and cooking in a kitchen oven-broiler or in a pan-grill to an internal (geometric center) temperature of 60 or 71 °C. Bars of each thawing method, sharing at least on lower case letter indicate non-significant differences (P ≥ 0.05) among cooking methods and degrees of doneness. Bars of each cooking method and degree of doneness sharing at least one upper case letter indicate non-significant effect (P ≥ 0.05) of the different thawing methods.</w:t>
      </w:r>
    </w:p>
    <w:p w14:paraId="32DAEE7C"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space="720"/>
        </w:sectPr>
      </w:pPr>
    </w:p>
    <w:p w14:paraId="13FBDCF2" w14:textId="77777777" w:rsidR="00EE1BBB" w:rsidRDefault="00EE1BBB" w:rsidP="00EE1BBB">
      <w:pPr>
        <w:pStyle w:val="Standard"/>
        <w:spacing w:before="430" w:line="259" w:lineRule="auto"/>
        <w:ind w:right="180" w:firstLine="5"/>
        <w:jc w:val="both"/>
      </w:pPr>
      <w:r>
        <w:rPr>
          <w:color w:val="231F20"/>
          <w:sz w:val="15"/>
          <w:szCs w:val="15"/>
        </w:rPr>
        <w:t>non-lethal and lethal values. Therefore, the rate of heat transfer in the geometrical center of samples, as well as the way that heat was trans ferred to the internal of patties during cooking may likely explain the higher capability of cooking in oven-broiler to reduce the pathogens, compared with cooking in pan-grill (</w:t>
      </w:r>
      <w:r>
        <w:rPr>
          <w:color w:val="2E3092"/>
          <w:sz w:val="15"/>
          <w:szCs w:val="15"/>
        </w:rPr>
        <w:t>Shen et al., 2010</w:t>
      </w:r>
      <w:r>
        <w:rPr>
          <w:color w:val="231F20"/>
          <w:sz w:val="15"/>
          <w:szCs w:val="15"/>
        </w:rPr>
        <w:t>). The time–temper ature profiles showed that the heat transfer rate during cooking in oven broiler was slower compared with cooking in pan-grill (</w:t>
      </w:r>
      <w:r>
        <w:rPr>
          <w:color w:val="2E3092"/>
          <w:sz w:val="15"/>
          <w:szCs w:val="15"/>
        </w:rPr>
        <w:t>Fig. 4</w:t>
      </w:r>
      <w:r>
        <w:rPr>
          <w:color w:val="231F20"/>
          <w:sz w:val="15"/>
          <w:szCs w:val="15"/>
        </w:rPr>
        <w:t>). In this way, the heat was evenly distributed in beef patties and thus, the pathogens were consistently exposed to lethal temperatures for a longer period. In addition, during cooking in pan-grill heat is transferred only by conduction, while in oven-broiler the heat transfer takes place both by conduction (due to the direct conduct with the heated cooking utensil) and convection.</w:t>
      </w:r>
    </w:p>
    <w:p w14:paraId="4057F7D8" w14:textId="77777777" w:rsidR="00EE1BBB" w:rsidRDefault="00EE1BBB" w:rsidP="00EE1BBB">
      <w:pPr>
        <w:pStyle w:val="Standard"/>
        <w:spacing w:before="8" w:line="259" w:lineRule="auto"/>
        <w:ind w:right="167" w:firstLine="243"/>
        <w:jc w:val="both"/>
      </w:pPr>
      <w:r>
        <w:rPr>
          <w:color w:val="231F20"/>
          <w:sz w:val="15"/>
          <w:szCs w:val="15"/>
        </w:rPr>
        <w:t>Of high importance was also the fact that cooking in pan-grill was not able to eliminate the pathogens, as it was observed in oven broiler, even when beef patties were cooked until 71 °C. These findings contradict with the issued guidelines, where it is stated that cooking of ground beef at an internal temperature of 160 °F (71.1 °C) may suffi ciently ensure the safety of the product (</w:t>
      </w:r>
      <w:r>
        <w:rPr>
          <w:color w:val="2E3092"/>
          <w:sz w:val="15"/>
          <w:szCs w:val="15"/>
        </w:rPr>
        <w:t>US Department of Agriculture Food Safety &amp; Inspection Service, 2013b</w:t>
      </w:r>
      <w:r>
        <w:rPr>
          <w:color w:val="231F20"/>
          <w:sz w:val="15"/>
          <w:szCs w:val="15"/>
        </w:rPr>
        <w:t>). However, the suggested cooking temperatures are not clearly linked with the cooking method, which seems to be of vital importance for the killing effect of heating temperature. Indeed, the results of the present study suggest that except for final cooking temperature, additional parameters such as the cooking method (i.e. describes the rate of heat transfer to the interi or of the patties) may also affect the survival of pathogens in beef pat ties. It needs to be stressed however that the findings of the present</w:t>
      </w:r>
    </w:p>
    <w:p w14:paraId="09CC01B3" w14:textId="77777777" w:rsidR="00EE1BBB" w:rsidRDefault="00EE1BBB" w:rsidP="00EE1BBB">
      <w:pPr>
        <w:pStyle w:val="Standard"/>
        <w:spacing w:line="259" w:lineRule="auto"/>
        <w:ind w:left="157" w:right="6" w:firstLine="8"/>
        <w:jc w:val="both"/>
      </w:pPr>
      <w:r>
        <w:rPr>
          <w:color w:val="231F20"/>
          <w:sz w:val="15"/>
          <w:szCs w:val="15"/>
        </w:rPr>
        <w:t xml:space="preserve">study primarily refer to ground beef of high fat content (i.e., approximately 20%), since the fat concentration in meat has been found to affect the behavior of pathogens during heat treatments. </w:t>
      </w:r>
      <w:r>
        <w:rPr>
          <w:color w:val="2E3092"/>
          <w:sz w:val="15"/>
          <w:szCs w:val="15"/>
        </w:rPr>
        <w:t xml:space="preserve">Ahmed, Conner, and Huffman (1995) </w:t>
      </w:r>
      <w:r>
        <w:rPr>
          <w:color w:val="231F20"/>
          <w:sz w:val="15"/>
          <w:szCs w:val="15"/>
        </w:rPr>
        <w:t xml:space="preserve">showed that E. coli O157:H7 was more heat resistant in ground beef of 20% fat, compared with cells in ground beef containing 7% fat. </w:t>
      </w:r>
      <w:r>
        <w:rPr>
          <w:color w:val="2E3092"/>
          <w:sz w:val="15"/>
          <w:szCs w:val="15"/>
        </w:rPr>
        <w:t xml:space="preserve">Luchansky et al. (2013) </w:t>
      </w:r>
      <w:r>
        <w:rPr>
          <w:color w:val="231F20"/>
          <w:sz w:val="15"/>
          <w:szCs w:val="15"/>
        </w:rPr>
        <w:t>reported also increased thermotolerance of different serotypes of E. coli in wafers of ground meat, especially at lower temperatures (54.4–60 °C compared to 65.6 °C). In contrast, this phenomenon was not evident in ground turkey (</w:t>
      </w:r>
      <w:r>
        <w:rPr>
          <w:color w:val="2E3092"/>
          <w:sz w:val="15"/>
          <w:szCs w:val="15"/>
        </w:rPr>
        <w:t>Kotrola &amp; Conner, 1997</w:t>
      </w:r>
      <w:r>
        <w:rPr>
          <w:color w:val="231F20"/>
          <w:sz w:val="15"/>
          <w:szCs w:val="15"/>
        </w:rPr>
        <w:t>), where the addition of fat did not enhance the survival of E. coli O157:H7. Therefore, the behavior of pathogens on beef patties of different fat content may not be adequately represented only by the findings of the present study, since it may be affected by several additional factors such as strain, type of meat, temperature of heat treatment etc. (</w:t>
      </w:r>
      <w:r>
        <w:rPr>
          <w:color w:val="2E3092"/>
          <w:sz w:val="15"/>
          <w:szCs w:val="15"/>
        </w:rPr>
        <w:t>Juneja, Eblen, &amp; Marks, 2001</w:t>
      </w:r>
      <w:r>
        <w:rPr>
          <w:color w:val="231F20"/>
          <w:sz w:val="15"/>
          <w:szCs w:val="15"/>
        </w:rPr>
        <w:t>).</w:t>
      </w:r>
    </w:p>
    <w:p w14:paraId="7269D68A" w14:textId="77777777" w:rsidR="00EE1BBB" w:rsidRDefault="00EE1BBB" w:rsidP="00EE1BBB">
      <w:pPr>
        <w:pStyle w:val="Standard"/>
        <w:spacing w:before="8" w:line="259" w:lineRule="auto"/>
        <w:ind w:left="162" w:right="6" w:firstLine="234"/>
        <w:jc w:val="both"/>
      </w:pPr>
      <w:r>
        <w:rPr>
          <w:color w:val="231F20"/>
          <w:sz w:val="15"/>
          <w:szCs w:val="15"/>
        </w:rPr>
        <w:t>The different cooking practices and degrees of doneness that were tested in the present study had also an immediate impact on the pH of the cooked beef patties as well as on the percentage of weight loses during cooking. Except for cooking in oven-broiler at 60 °C after thawing on counter or in microwave, all thawing/cooking practices resulted in statistically significant (P b 0.05) increase of the pH of the cooked samples. The pH of patties before heating was 5.78 ± 0.06 and, depending on the thawing method, it ranged from 5.95–6.06, 5.98–6.09, 5.86–6.00 to 5.96–6.07 after cooking in oven-broiler at 71 °C, pan-grill at 71 °C, oven-broiler at 60 °C and pan-grill at 60 °C, re spectively. These results are in agreement with previous studies, where significant increase of pH during cooking of intact or non-intact beef has</w:t>
      </w:r>
    </w:p>
    <w:p w14:paraId="615853E8"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1497DB27" w14:textId="77777777" w:rsidR="00EE1BBB" w:rsidRDefault="00EE1BBB" w:rsidP="00EE1BBB">
      <w:pPr>
        <w:pStyle w:val="Standard"/>
        <w:spacing w:line="240" w:lineRule="auto"/>
        <w:ind w:left="12"/>
      </w:pPr>
      <w:r>
        <w:rPr>
          <w:color w:val="231F20"/>
          <w:sz w:val="12"/>
          <w:szCs w:val="12"/>
        </w:rPr>
        <w:t>30 S.G. Manios, P.N. Skandamis / Meat Science 101 (2015) 25–32</w:t>
      </w:r>
    </w:p>
    <w:p w14:paraId="20BF21EA" w14:textId="77777777" w:rsidR="00EE1BBB" w:rsidRDefault="00EE1BBB" w:rsidP="00EE1BBB">
      <w:pPr>
        <w:pStyle w:val="Standard"/>
        <w:spacing w:before="186" w:line="240" w:lineRule="auto"/>
        <w:ind w:left="48"/>
      </w:pPr>
      <w:r>
        <w:rPr>
          <w:noProof/>
        </w:rPr>
        <w:lastRenderedPageBreak/>
        <w:drawing>
          <wp:inline distT="0" distB="0" distL="0" distR="0" wp14:anchorId="6B32FCFE" wp14:editId="1E2081A7">
            <wp:extent cx="6541891" cy="4190420"/>
            <wp:effectExtent l="0" t="0" r="0" b="580"/>
            <wp:docPr id="6"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6541891" cy="4190420"/>
                    </a:xfrm>
                    <a:prstGeom prst="rect">
                      <a:avLst/>
                    </a:prstGeom>
                    <a:noFill/>
                    <a:ln>
                      <a:noFill/>
                      <a:prstDash/>
                    </a:ln>
                  </pic:spPr>
                </pic:pic>
              </a:graphicData>
            </a:graphic>
          </wp:inline>
        </w:drawing>
      </w:r>
    </w:p>
    <w:p w14:paraId="5F84D111" w14:textId="77777777" w:rsidR="00EE1BBB" w:rsidRDefault="00EE1BBB" w:rsidP="00EE1BBB">
      <w:pPr>
        <w:pStyle w:val="Standard"/>
        <w:spacing w:line="266" w:lineRule="auto"/>
        <w:ind w:left="13" w:right="175"/>
        <w:jc w:val="both"/>
      </w:pPr>
      <w:r>
        <w:rPr>
          <w:color w:val="231F20"/>
          <w:sz w:val="12"/>
          <w:szCs w:val="12"/>
        </w:rPr>
        <w:t>Fig. 3. Logarithmic reductions of Escherichia coli O157:H7 (i: counts on TSA + 0.6% yeast extract; ii: counts on CT-SMAC) in beef patties after storage at −22 °C for 5 (A) or 75 days (B), thawing with four different methods (counter, refrigerator, microwave, no thawing) and cooking in a kitchen oven-broiler or in a pan-grill to an internal (geometric center) temperature of 60 or 71 °C. Bars of each thawing method, sharing at least on lower case letter indicate non-significant differences (P ≥ 0.05) among cooking methods and degrees of doneness. Bars of each cooking method and degree of doneness sharing at least one upper case letter indicate non-significant effect (P ≥ 0.05) of the different thawing methods.</w:t>
      </w:r>
    </w:p>
    <w:p w14:paraId="055568D3"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space="720"/>
        </w:sectPr>
      </w:pPr>
    </w:p>
    <w:p w14:paraId="38A30C7E" w14:textId="77777777" w:rsidR="00EE1BBB" w:rsidRDefault="00EE1BBB" w:rsidP="00EE1BBB">
      <w:pPr>
        <w:pStyle w:val="Standard"/>
        <w:spacing w:before="289" w:line="259" w:lineRule="auto"/>
        <w:ind w:left="3" w:right="163" w:firstLine="2"/>
        <w:jc w:val="both"/>
      </w:pPr>
      <w:r>
        <w:rPr>
          <w:color w:val="231F20"/>
          <w:sz w:val="15"/>
          <w:szCs w:val="15"/>
        </w:rPr>
        <w:t>been observed (</w:t>
      </w:r>
      <w:r>
        <w:rPr>
          <w:color w:val="2E3092"/>
          <w:sz w:val="15"/>
          <w:szCs w:val="15"/>
        </w:rPr>
        <w:t>Mukherjee et al., 2009; Shen, Geornaras, Belk, Smith, &amp; Sofos, 2011b; Shen et al., 2011a</w:t>
      </w:r>
      <w:r>
        <w:rPr>
          <w:color w:val="231F20"/>
          <w:sz w:val="15"/>
          <w:szCs w:val="15"/>
        </w:rPr>
        <w:t>). The increase of beef patties pH during cooking may likely be associated with the loss of acidic compounds (</w:t>
      </w:r>
      <w:r>
        <w:rPr>
          <w:color w:val="2E3092"/>
          <w:sz w:val="15"/>
          <w:szCs w:val="15"/>
        </w:rPr>
        <w:t>Vasanthi, Venkataramanujam, &amp; Dushyanthan, 2007</w:t>
      </w:r>
      <w:r>
        <w:rPr>
          <w:color w:val="231F20"/>
          <w:sz w:val="15"/>
          <w:szCs w:val="15"/>
        </w:rPr>
        <w:t>), such as lactic and succinic acid. The entraining of such compounds with the lost juices of the patties may increase the pH of the product. Even though cooking in pan-grill caused slightly higher increase of pH in beef patties compar ing with cooking in oven-broiler, these differences were not significant (P ≥ 0.05). In contrast, for each specific cooking method and degree of doneness, the samples had higher pH values after thawing in refrigera tor or after cooking without prior thawing. As long as these two thawing practices required more cooking time compared with those of micro wave and counter, it is speculated that the longer exposure to heat</w:t>
      </w:r>
    </w:p>
    <w:p w14:paraId="62230D32" w14:textId="77777777" w:rsidR="00EE1BBB" w:rsidRDefault="00EE1BBB" w:rsidP="00EE1BBB">
      <w:pPr>
        <w:pStyle w:val="Standard"/>
        <w:spacing w:before="563" w:line="240" w:lineRule="auto"/>
      </w:pPr>
      <w:r>
        <w:rPr>
          <w:color w:val="231F20"/>
          <w:sz w:val="12"/>
          <w:szCs w:val="12"/>
        </w:rPr>
        <w:t>Table 3</w:t>
      </w:r>
    </w:p>
    <w:p w14:paraId="75BE25AE" w14:textId="77777777" w:rsidR="00EE1BBB" w:rsidRDefault="00EE1BBB" w:rsidP="00EE1BBB">
      <w:pPr>
        <w:pStyle w:val="Standard"/>
        <w:spacing w:before="22" w:line="264" w:lineRule="auto"/>
        <w:ind w:left="3" w:right="168" w:firstLine="4"/>
        <w:jc w:val="both"/>
      </w:pPr>
      <w:r>
        <w:rPr>
          <w:color w:val="231F20"/>
          <w:sz w:val="12"/>
          <w:szCs w:val="12"/>
        </w:rPr>
        <w:t>Mean values of thermal process lethality (F value) of Escherichia coli O157:H7 in beef patties which were cooked in oven-broiler or in pan-grill at 60 °C or 71 °C, after thawing with four different practices.</w:t>
      </w:r>
    </w:p>
    <w:p w14:paraId="1AB88158" w14:textId="77777777" w:rsidR="00EE1BBB" w:rsidRDefault="00EE1BBB" w:rsidP="00EE1BBB">
      <w:pPr>
        <w:pStyle w:val="Standard"/>
        <w:spacing w:line="259" w:lineRule="auto"/>
        <w:ind w:left="163" w:right="5"/>
        <w:jc w:val="right"/>
      </w:pPr>
      <w:r>
        <w:rPr>
          <w:color w:val="231F20"/>
          <w:sz w:val="15"/>
          <w:szCs w:val="15"/>
        </w:rPr>
        <w:t>caused greater release of acidic compounds and, thus increased the final pH of the product, at least locally at the outer part of the patties. In addition to the pH increase, an expected weight loss of samples was also observed during cooking. Although the thawing practice which was followed did not affect significantly (P ≥ 0.05) the weight loses of samples, the cooking method and the degree of doneness played significant (P b 0.05) role; beef patties cooked in pan-grill at 71 °C lost approximately 25.7 ± 3.8 g, while the corresponding weight loses after cooking in oven-broiler at 71 °C, pan-grill at 60 °C and oven broiler at 60 °C were 19.2 ± 1.6 g, 10.9 ± 2.1 g and 20.5 ± 4.3 g, respec tively. These differences may be attributed to the intensity of each cooking procedure rather than the duration of cooking time. In general, losses of weight during cooking is the result of extensive release of</w:t>
      </w:r>
    </w:p>
    <w:p w14:paraId="3346CDA2" w14:textId="77777777" w:rsidR="00EE1BBB" w:rsidRDefault="00EE1BBB" w:rsidP="00EE1BBB">
      <w:pPr>
        <w:pStyle w:val="Standard"/>
        <w:spacing w:before="563" w:line="240" w:lineRule="auto"/>
        <w:ind w:left="159"/>
      </w:pPr>
      <w:r>
        <w:rPr>
          <w:color w:val="231F20"/>
          <w:sz w:val="12"/>
          <w:szCs w:val="12"/>
        </w:rPr>
        <w:t>Table 4</w:t>
      </w:r>
    </w:p>
    <w:p w14:paraId="3E4B9053" w14:textId="77777777" w:rsidR="00EE1BBB" w:rsidRDefault="00EE1BBB" w:rsidP="00EE1BBB">
      <w:pPr>
        <w:pStyle w:val="Standard"/>
        <w:spacing w:before="22" w:line="264" w:lineRule="auto"/>
        <w:ind w:left="162" w:right="17" w:firstLine="4"/>
        <w:jc w:val="both"/>
      </w:pPr>
      <w:r>
        <w:rPr>
          <w:color w:val="231F20"/>
          <w:sz w:val="12"/>
          <w:szCs w:val="12"/>
        </w:rPr>
        <w:t>Mean values of thermal process lethality (F-value) of Salmonella spp. in beef patties which were cooked in oven-broiler or in pan-grill to 60 °C or 71 °C in the geometric center, after thawing with four different practices.</w:t>
      </w:r>
    </w:p>
    <w:p w14:paraId="73EC9D23"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57553183" w14:textId="77777777" w:rsidR="00EE1BBB" w:rsidRDefault="00EE1BBB" w:rsidP="00EE1BBB">
      <w:pPr>
        <w:pStyle w:val="Standard"/>
        <w:spacing w:before="127" w:line="240" w:lineRule="auto"/>
      </w:pPr>
      <w:r>
        <w:rPr>
          <w:color w:val="231F20"/>
          <w:sz w:val="12"/>
          <w:szCs w:val="12"/>
        </w:rPr>
        <w:t>Thawing</w:t>
      </w:r>
    </w:p>
    <w:p w14:paraId="7A595AB5" w14:textId="77777777" w:rsidR="00EE1BBB" w:rsidRDefault="00EE1BBB" w:rsidP="00EE1BBB">
      <w:pPr>
        <w:pStyle w:val="Standard"/>
        <w:spacing w:line="240" w:lineRule="auto"/>
      </w:pPr>
      <w:r>
        <w:rPr>
          <w:color w:val="231F20"/>
          <w:sz w:val="12"/>
          <w:szCs w:val="12"/>
        </w:rPr>
        <w:t>Cooking method—degrees of doneness</w:t>
      </w:r>
    </w:p>
    <w:p w14:paraId="50F9D614" w14:textId="77777777" w:rsidR="00EE1BBB" w:rsidRDefault="00EE1BBB" w:rsidP="00EE1BBB">
      <w:pPr>
        <w:pStyle w:val="Standard"/>
        <w:spacing w:line="240" w:lineRule="auto"/>
      </w:pPr>
      <w:r>
        <w:rPr>
          <w:color w:val="231F20"/>
          <w:sz w:val="12"/>
          <w:szCs w:val="12"/>
        </w:rPr>
        <w:t>Thawing</w:t>
      </w:r>
    </w:p>
    <w:p w14:paraId="1B968EB7" w14:textId="77777777" w:rsidR="00EE1BBB" w:rsidRDefault="00EE1BBB" w:rsidP="00EE1BBB">
      <w:pPr>
        <w:pStyle w:val="Standard"/>
        <w:spacing w:line="240" w:lineRule="auto"/>
      </w:pPr>
      <w:r>
        <w:rPr>
          <w:color w:val="231F20"/>
          <w:sz w:val="12"/>
          <w:szCs w:val="12"/>
        </w:rPr>
        <w:t>Cooking method—degrees of doneness</w:t>
      </w:r>
    </w:p>
    <w:p w14:paraId="79EDC6F6"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4" w:space="720" w:equalWidth="0">
            <w:col w:w="2646" w:space="0"/>
            <w:col w:w="2646" w:space="0"/>
            <w:col w:w="2646" w:space="0"/>
            <w:col w:w="2646" w:space="0"/>
          </w:cols>
        </w:sectPr>
      </w:pPr>
    </w:p>
    <w:p w14:paraId="31F6CC52" w14:textId="77777777" w:rsidR="00EE1BBB" w:rsidRDefault="00EE1BBB" w:rsidP="00EE1BBB">
      <w:pPr>
        <w:pStyle w:val="Standard"/>
        <w:spacing w:before="22" w:line="240" w:lineRule="auto"/>
      </w:pPr>
      <w:r>
        <w:rPr>
          <w:color w:val="231F20"/>
          <w:sz w:val="12"/>
          <w:szCs w:val="12"/>
        </w:rPr>
        <w:t>method</w:t>
      </w:r>
    </w:p>
    <w:p w14:paraId="6409307E" w14:textId="77777777" w:rsidR="00EE1BBB" w:rsidRDefault="00EE1BBB" w:rsidP="00EE1BBB">
      <w:pPr>
        <w:pStyle w:val="Standard"/>
        <w:spacing w:before="89" w:line="264" w:lineRule="auto"/>
      </w:pPr>
      <w:r>
        <w:rPr>
          <w:color w:val="231F20"/>
          <w:sz w:val="12"/>
          <w:szCs w:val="12"/>
        </w:rPr>
        <w:t xml:space="preserve">Oven-broiler </w:t>
      </w:r>
      <w:r>
        <w:rPr>
          <w:color w:val="231F20"/>
          <w:sz w:val="12"/>
          <w:szCs w:val="12"/>
        </w:rPr>
        <w:t>(71 °C)</w:t>
      </w:r>
    </w:p>
    <w:p w14:paraId="4F962F49" w14:textId="77777777" w:rsidR="00EE1BBB" w:rsidRDefault="00EE1BBB" w:rsidP="00EE1BBB">
      <w:pPr>
        <w:pStyle w:val="Standard"/>
        <w:spacing w:before="89" w:line="264" w:lineRule="auto"/>
      </w:pPr>
      <w:r>
        <w:rPr>
          <w:color w:val="231F20"/>
          <w:sz w:val="12"/>
          <w:szCs w:val="12"/>
        </w:rPr>
        <w:t>Pan-grill (71 °C)</w:t>
      </w:r>
    </w:p>
    <w:p w14:paraId="4FA0D15F" w14:textId="77777777" w:rsidR="00EE1BBB" w:rsidRDefault="00EE1BBB" w:rsidP="00EE1BBB">
      <w:pPr>
        <w:pStyle w:val="Standard"/>
        <w:spacing w:before="89" w:line="264" w:lineRule="auto"/>
      </w:pPr>
      <w:r>
        <w:rPr>
          <w:color w:val="231F20"/>
          <w:sz w:val="12"/>
          <w:szCs w:val="12"/>
        </w:rPr>
        <w:t>Oven-broiler (60 °C)</w:t>
      </w:r>
    </w:p>
    <w:p w14:paraId="678CF8C9" w14:textId="77777777" w:rsidR="00EE1BBB" w:rsidRDefault="00EE1BBB" w:rsidP="00EE1BBB">
      <w:pPr>
        <w:pStyle w:val="Standard"/>
        <w:spacing w:before="89" w:line="264" w:lineRule="auto"/>
      </w:pPr>
      <w:r>
        <w:rPr>
          <w:color w:val="231F20"/>
          <w:sz w:val="12"/>
          <w:szCs w:val="12"/>
        </w:rPr>
        <w:t>Pan-grill (60 °C)</w:t>
      </w:r>
    </w:p>
    <w:p w14:paraId="2631179B" w14:textId="77777777" w:rsidR="00EE1BBB" w:rsidRDefault="00EE1BBB" w:rsidP="00EE1BBB">
      <w:pPr>
        <w:pStyle w:val="Standard"/>
        <w:spacing w:line="240" w:lineRule="auto"/>
      </w:pPr>
      <w:r>
        <w:rPr>
          <w:color w:val="231F20"/>
          <w:sz w:val="12"/>
          <w:szCs w:val="12"/>
        </w:rPr>
        <w:t>method</w:t>
      </w:r>
    </w:p>
    <w:p w14:paraId="44634DF4" w14:textId="77777777" w:rsidR="00EE1BBB" w:rsidRDefault="00EE1BBB" w:rsidP="00EE1BBB">
      <w:pPr>
        <w:pStyle w:val="Standard"/>
        <w:spacing w:before="89" w:line="264" w:lineRule="auto"/>
      </w:pPr>
      <w:r>
        <w:rPr>
          <w:color w:val="231F20"/>
          <w:sz w:val="12"/>
          <w:szCs w:val="12"/>
        </w:rPr>
        <w:t>Oven-broiler (71 °C)</w:t>
      </w:r>
    </w:p>
    <w:p w14:paraId="30B26FC5" w14:textId="77777777" w:rsidR="00EE1BBB" w:rsidRDefault="00EE1BBB" w:rsidP="00EE1BBB">
      <w:pPr>
        <w:pStyle w:val="Standard"/>
        <w:spacing w:before="89" w:line="264" w:lineRule="auto"/>
      </w:pPr>
      <w:r>
        <w:rPr>
          <w:color w:val="231F20"/>
          <w:sz w:val="12"/>
          <w:szCs w:val="12"/>
        </w:rPr>
        <w:t>Pan-grill (71 °C)</w:t>
      </w:r>
    </w:p>
    <w:p w14:paraId="4876A225" w14:textId="77777777" w:rsidR="00EE1BBB" w:rsidRDefault="00EE1BBB" w:rsidP="00EE1BBB">
      <w:pPr>
        <w:pStyle w:val="Standard"/>
        <w:spacing w:before="89" w:line="264" w:lineRule="auto"/>
      </w:pPr>
      <w:r>
        <w:rPr>
          <w:color w:val="231F20"/>
          <w:sz w:val="12"/>
          <w:szCs w:val="12"/>
        </w:rPr>
        <w:t xml:space="preserve">Oven-broiler </w:t>
      </w:r>
      <w:r>
        <w:rPr>
          <w:color w:val="231F20"/>
          <w:sz w:val="12"/>
          <w:szCs w:val="12"/>
        </w:rPr>
        <w:t>(60 °C)</w:t>
      </w:r>
    </w:p>
    <w:p w14:paraId="0A374D85" w14:textId="77777777" w:rsidR="00EE1BBB" w:rsidRDefault="00EE1BBB" w:rsidP="00EE1BBB">
      <w:pPr>
        <w:pStyle w:val="Standard"/>
        <w:spacing w:before="89" w:line="264" w:lineRule="auto"/>
      </w:pPr>
      <w:r>
        <w:rPr>
          <w:color w:val="231F20"/>
          <w:sz w:val="12"/>
          <w:szCs w:val="12"/>
        </w:rPr>
        <w:t>Pan-grill (60 °C)</w:t>
      </w:r>
    </w:p>
    <w:p w14:paraId="06A5A643"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10" w:space="720" w:equalWidth="0">
            <w:col w:w="1059" w:space="0"/>
            <w:col w:w="1059" w:space="0"/>
            <w:col w:w="1059" w:space="0"/>
            <w:col w:w="1059" w:space="0"/>
            <w:col w:w="1059" w:space="0"/>
            <w:col w:w="1059" w:space="0"/>
            <w:col w:w="1059" w:space="0"/>
            <w:col w:w="1059" w:space="0"/>
            <w:col w:w="1059" w:space="0"/>
            <w:col w:w="1056" w:space="0"/>
          </w:cols>
        </w:sectPr>
      </w:pPr>
    </w:p>
    <w:p w14:paraId="1BE7FBA2" w14:textId="77777777" w:rsidR="00EE1BBB" w:rsidRDefault="00EE1BBB" w:rsidP="00EE1BBB">
      <w:pPr>
        <w:pStyle w:val="Standard"/>
        <w:spacing w:before="77" w:line="230" w:lineRule="auto"/>
        <w:ind w:left="119" w:right="306"/>
        <w:jc w:val="both"/>
      </w:pPr>
      <w:r>
        <w:rPr>
          <w:color w:val="231F20"/>
          <w:sz w:val="12"/>
          <w:szCs w:val="12"/>
        </w:rPr>
        <w:t>Counter 5.32 ± 0.92</w:t>
      </w:r>
      <w:r>
        <w:rPr>
          <w:color w:val="231F20"/>
          <w:sz w:val="15"/>
          <w:szCs w:val="15"/>
          <w:vertAlign w:val="superscript"/>
        </w:rPr>
        <w:t xml:space="preserve">Aa </w:t>
      </w:r>
      <w:r>
        <w:rPr>
          <w:color w:val="231F20"/>
          <w:sz w:val="12"/>
          <w:szCs w:val="12"/>
        </w:rPr>
        <w:t>3.28 ± 0.53</w:t>
      </w:r>
      <w:r>
        <w:rPr>
          <w:color w:val="231F20"/>
          <w:sz w:val="15"/>
          <w:szCs w:val="15"/>
          <w:vertAlign w:val="superscript"/>
        </w:rPr>
        <w:t xml:space="preserve">Ab </w:t>
      </w:r>
      <w:r>
        <w:rPr>
          <w:color w:val="231F20"/>
          <w:sz w:val="12"/>
          <w:szCs w:val="12"/>
        </w:rPr>
        <w:t>1.83 ± 0.20</w:t>
      </w:r>
      <w:r>
        <w:rPr>
          <w:color w:val="231F20"/>
          <w:sz w:val="15"/>
          <w:szCs w:val="15"/>
          <w:vertAlign w:val="superscript"/>
        </w:rPr>
        <w:t xml:space="preserve">Ac </w:t>
      </w:r>
      <w:r>
        <w:rPr>
          <w:color w:val="231F20"/>
          <w:sz w:val="12"/>
          <w:szCs w:val="12"/>
        </w:rPr>
        <w:t>1.24 ± 0.34</w:t>
      </w:r>
      <w:r>
        <w:rPr>
          <w:color w:val="231F20"/>
          <w:sz w:val="15"/>
          <w:szCs w:val="15"/>
          <w:vertAlign w:val="superscript"/>
        </w:rPr>
        <w:t>Ac</w:t>
      </w:r>
      <w:r>
        <w:rPr>
          <w:color w:val="231F20"/>
          <w:sz w:val="9"/>
          <w:szCs w:val="9"/>
        </w:rPr>
        <w:t xml:space="preserve"> </w:t>
      </w:r>
      <w:r>
        <w:rPr>
          <w:color w:val="231F20"/>
          <w:sz w:val="12"/>
          <w:szCs w:val="12"/>
        </w:rPr>
        <w:t>Refrigerator 4.97 ± 0.83</w:t>
      </w:r>
      <w:r>
        <w:rPr>
          <w:color w:val="231F20"/>
          <w:sz w:val="15"/>
          <w:szCs w:val="15"/>
          <w:vertAlign w:val="superscript"/>
        </w:rPr>
        <w:t xml:space="preserve">Aa </w:t>
      </w:r>
      <w:r>
        <w:rPr>
          <w:color w:val="231F20"/>
          <w:sz w:val="12"/>
          <w:szCs w:val="12"/>
        </w:rPr>
        <w:t>3.41 ± 1.10</w:t>
      </w:r>
      <w:r>
        <w:rPr>
          <w:color w:val="231F20"/>
          <w:sz w:val="15"/>
          <w:szCs w:val="15"/>
          <w:vertAlign w:val="superscript"/>
        </w:rPr>
        <w:t xml:space="preserve">Ab </w:t>
      </w:r>
      <w:r>
        <w:rPr>
          <w:color w:val="231F20"/>
          <w:sz w:val="12"/>
          <w:szCs w:val="12"/>
        </w:rPr>
        <w:t>1.76 ± 0.36</w:t>
      </w:r>
      <w:r>
        <w:rPr>
          <w:color w:val="231F20"/>
          <w:sz w:val="15"/>
          <w:szCs w:val="15"/>
          <w:vertAlign w:val="superscript"/>
        </w:rPr>
        <w:t xml:space="preserve">Ac </w:t>
      </w:r>
      <w:r>
        <w:rPr>
          <w:color w:val="231F20"/>
          <w:sz w:val="12"/>
          <w:szCs w:val="12"/>
        </w:rPr>
        <w:t>1.51 ± 0.43</w:t>
      </w:r>
      <w:r>
        <w:rPr>
          <w:color w:val="231F20"/>
          <w:sz w:val="15"/>
          <w:szCs w:val="15"/>
          <w:vertAlign w:val="superscript"/>
        </w:rPr>
        <w:t>Ac</w:t>
      </w:r>
      <w:r>
        <w:rPr>
          <w:color w:val="231F20"/>
          <w:sz w:val="9"/>
          <w:szCs w:val="9"/>
        </w:rPr>
        <w:t xml:space="preserve"> </w:t>
      </w:r>
      <w:r>
        <w:rPr>
          <w:color w:val="231F20"/>
          <w:sz w:val="12"/>
          <w:szCs w:val="12"/>
        </w:rPr>
        <w:t>Microwave 5.47 ± 0.73</w:t>
      </w:r>
      <w:r>
        <w:rPr>
          <w:color w:val="231F20"/>
          <w:sz w:val="15"/>
          <w:szCs w:val="15"/>
          <w:vertAlign w:val="superscript"/>
        </w:rPr>
        <w:t xml:space="preserve">Aa </w:t>
      </w:r>
      <w:r>
        <w:rPr>
          <w:color w:val="231F20"/>
          <w:sz w:val="12"/>
          <w:szCs w:val="12"/>
        </w:rPr>
        <w:t>3.76 ± 0.62</w:t>
      </w:r>
      <w:r>
        <w:rPr>
          <w:color w:val="231F20"/>
          <w:sz w:val="15"/>
          <w:szCs w:val="15"/>
          <w:vertAlign w:val="superscript"/>
        </w:rPr>
        <w:t xml:space="preserve">Ab </w:t>
      </w:r>
      <w:r>
        <w:rPr>
          <w:color w:val="231F20"/>
          <w:sz w:val="12"/>
          <w:szCs w:val="12"/>
        </w:rPr>
        <w:t>1.82 ± 0.36</w:t>
      </w:r>
      <w:r>
        <w:rPr>
          <w:color w:val="231F20"/>
          <w:sz w:val="15"/>
          <w:szCs w:val="15"/>
          <w:vertAlign w:val="superscript"/>
        </w:rPr>
        <w:t xml:space="preserve">Ac </w:t>
      </w:r>
      <w:r>
        <w:rPr>
          <w:color w:val="231F20"/>
          <w:sz w:val="12"/>
          <w:szCs w:val="12"/>
        </w:rPr>
        <w:t>1.27 ± 0.32</w:t>
      </w:r>
      <w:r>
        <w:rPr>
          <w:color w:val="231F20"/>
          <w:sz w:val="15"/>
          <w:szCs w:val="15"/>
          <w:vertAlign w:val="superscript"/>
        </w:rPr>
        <w:t>Ac</w:t>
      </w:r>
      <w:r>
        <w:rPr>
          <w:color w:val="231F20"/>
          <w:sz w:val="9"/>
          <w:szCs w:val="9"/>
        </w:rPr>
        <w:t xml:space="preserve"> </w:t>
      </w:r>
      <w:r>
        <w:rPr>
          <w:color w:val="231F20"/>
          <w:sz w:val="12"/>
          <w:szCs w:val="12"/>
        </w:rPr>
        <w:t>No thawing 5.60 ± 0.96</w:t>
      </w:r>
      <w:r>
        <w:rPr>
          <w:color w:val="231F20"/>
          <w:sz w:val="15"/>
          <w:szCs w:val="15"/>
          <w:vertAlign w:val="superscript"/>
        </w:rPr>
        <w:t xml:space="preserve">Aa </w:t>
      </w:r>
      <w:r>
        <w:rPr>
          <w:color w:val="231F20"/>
          <w:sz w:val="12"/>
          <w:szCs w:val="12"/>
        </w:rPr>
        <w:t>2.93 ± 1.18</w:t>
      </w:r>
      <w:r>
        <w:rPr>
          <w:color w:val="231F20"/>
          <w:sz w:val="15"/>
          <w:szCs w:val="15"/>
          <w:vertAlign w:val="superscript"/>
        </w:rPr>
        <w:t xml:space="preserve">Ab </w:t>
      </w:r>
      <w:r>
        <w:rPr>
          <w:color w:val="231F20"/>
          <w:sz w:val="12"/>
          <w:szCs w:val="12"/>
        </w:rPr>
        <w:t>1.47 ± 0.37</w:t>
      </w:r>
      <w:r>
        <w:rPr>
          <w:color w:val="231F20"/>
          <w:sz w:val="15"/>
          <w:szCs w:val="15"/>
          <w:vertAlign w:val="superscript"/>
        </w:rPr>
        <w:t xml:space="preserve">Ac </w:t>
      </w:r>
      <w:r>
        <w:rPr>
          <w:color w:val="231F20"/>
          <w:sz w:val="12"/>
          <w:szCs w:val="12"/>
        </w:rPr>
        <w:t>1.14 ± 0.21</w:t>
      </w:r>
      <w:r>
        <w:rPr>
          <w:color w:val="231F20"/>
          <w:sz w:val="15"/>
          <w:szCs w:val="15"/>
          <w:vertAlign w:val="superscript"/>
        </w:rPr>
        <w:t>Ac</w:t>
      </w:r>
    </w:p>
    <w:p w14:paraId="2DAD3E89" w14:textId="77777777" w:rsidR="00EE1BBB" w:rsidRDefault="00EE1BBB" w:rsidP="00EE1BBB">
      <w:pPr>
        <w:pStyle w:val="Standard"/>
        <w:spacing w:before="113" w:line="264" w:lineRule="auto"/>
        <w:ind w:right="186"/>
        <w:jc w:val="both"/>
      </w:pPr>
      <w:r>
        <w:rPr>
          <w:color w:val="231F20"/>
          <w:sz w:val="12"/>
          <w:szCs w:val="12"/>
        </w:rPr>
        <w:t>Mean values with different upper case letters within a column are statistically different (P b 0.05). Mean values with different lower case letters within a row are statistically dif ferent (P b 0.05).</w:t>
      </w:r>
    </w:p>
    <w:p w14:paraId="6A44C896" w14:textId="77777777" w:rsidR="00EE1BBB" w:rsidRDefault="00EE1BBB" w:rsidP="00EE1BBB">
      <w:pPr>
        <w:pStyle w:val="Standard"/>
        <w:spacing w:line="230" w:lineRule="auto"/>
        <w:ind w:left="278" w:right="146"/>
        <w:jc w:val="both"/>
      </w:pPr>
      <w:r>
        <w:rPr>
          <w:color w:val="231F20"/>
          <w:sz w:val="12"/>
          <w:szCs w:val="12"/>
        </w:rPr>
        <w:t>Counter 5.61 ± 1.10</w:t>
      </w:r>
      <w:r>
        <w:rPr>
          <w:color w:val="231F20"/>
          <w:sz w:val="15"/>
          <w:szCs w:val="15"/>
          <w:vertAlign w:val="superscript"/>
        </w:rPr>
        <w:t xml:space="preserve">Aa </w:t>
      </w:r>
      <w:r>
        <w:rPr>
          <w:color w:val="231F20"/>
          <w:sz w:val="12"/>
          <w:szCs w:val="12"/>
        </w:rPr>
        <w:t>3.58 ± 1.51</w:t>
      </w:r>
      <w:r>
        <w:rPr>
          <w:color w:val="231F20"/>
          <w:sz w:val="15"/>
          <w:szCs w:val="15"/>
          <w:vertAlign w:val="superscript"/>
        </w:rPr>
        <w:t xml:space="preserve">Ab </w:t>
      </w:r>
      <w:r>
        <w:rPr>
          <w:color w:val="231F20"/>
          <w:sz w:val="12"/>
          <w:szCs w:val="12"/>
        </w:rPr>
        <w:t>1.92 ± 0.16</w:t>
      </w:r>
      <w:r>
        <w:rPr>
          <w:color w:val="231F20"/>
          <w:sz w:val="15"/>
          <w:szCs w:val="15"/>
          <w:vertAlign w:val="superscript"/>
        </w:rPr>
        <w:t xml:space="preserve">Ac </w:t>
      </w:r>
      <w:r>
        <w:rPr>
          <w:color w:val="231F20"/>
          <w:sz w:val="12"/>
          <w:szCs w:val="12"/>
        </w:rPr>
        <w:t>1.13 ± 0.64</w:t>
      </w:r>
      <w:r>
        <w:rPr>
          <w:color w:val="231F20"/>
          <w:sz w:val="15"/>
          <w:szCs w:val="15"/>
          <w:vertAlign w:val="superscript"/>
        </w:rPr>
        <w:t>Ac</w:t>
      </w:r>
      <w:r>
        <w:rPr>
          <w:color w:val="231F20"/>
          <w:sz w:val="9"/>
          <w:szCs w:val="9"/>
        </w:rPr>
        <w:t xml:space="preserve"> </w:t>
      </w:r>
      <w:r>
        <w:rPr>
          <w:color w:val="231F20"/>
          <w:sz w:val="12"/>
          <w:szCs w:val="12"/>
        </w:rPr>
        <w:t>Refrigerator 5.68 ± 0.89</w:t>
      </w:r>
      <w:r>
        <w:rPr>
          <w:color w:val="231F20"/>
          <w:sz w:val="15"/>
          <w:szCs w:val="15"/>
          <w:vertAlign w:val="superscript"/>
        </w:rPr>
        <w:t xml:space="preserve">Aa </w:t>
      </w:r>
      <w:r>
        <w:rPr>
          <w:color w:val="231F20"/>
          <w:sz w:val="12"/>
          <w:szCs w:val="12"/>
        </w:rPr>
        <w:t>3.98 ± 1.28</w:t>
      </w:r>
      <w:r>
        <w:rPr>
          <w:color w:val="231F20"/>
          <w:sz w:val="15"/>
          <w:szCs w:val="15"/>
          <w:vertAlign w:val="superscript"/>
        </w:rPr>
        <w:t xml:space="preserve">Ab </w:t>
      </w:r>
      <w:r>
        <w:rPr>
          <w:color w:val="231F20"/>
          <w:sz w:val="12"/>
          <w:szCs w:val="12"/>
        </w:rPr>
        <w:t>1.84 ± 0.29</w:t>
      </w:r>
      <w:r>
        <w:rPr>
          <w:color w:val="231F20"/>
          <w:sz w:val="15"/>
          <w:szCs w:val="15"/>
          <w:vertAlign w:val="superscript"/>
        </w:rPr>
        <w:t xml:space="preserve">Ac </w:t>
      </w:r>
      <w:r>
        <w:rPr>
          <w:color w:val="231F20"/>
          <w:sz w:val="12"/>
          <w:szCs w:val="12"/>
        </w:rPr>
        <w:t>1.74 ± 0.45</w:t>
      </w:r>
      <w:r>
        <w:rPr>
          <w:color w:val="231F20"/>
          <w:sz w:val="15"/>
          <w:szCs w:val="15"/>
          <w:vertAlign w:val="superscript"/>
        </w:rPr>
        <w:t>Ac</w:t>
      </w:r>
      <w:r>
        <w:rPr>
          <w:color w:val="231F20"/>
          <w:sz w:val="9"/>
          <w:szCs w:val="9"/>
        </w:rPr>
        <w:t xml:space="preserve"> </w:t>
      </w:r>
      <w:r>
        <w:rPr>
          <w:color w:val="231F20"/>
          <w:sz w:val="12"/>
          <w:szCs w:val="12"/>
        </w:rPr>
        <w:t>Microwave 5.49 ± 0.91</w:t>
      </w:r>
      <w:r>
        <w:rPr>
          <w:color w:val="231F20"/>
          <w:sz w:val="15"/>
          <w:szCs w:val="15"/>
          <w:vertAlign w:val="superscript"/>
        </w:rPr>
        <w:t xml:space="preserve">Aa </w:t>
      </w:r>
      <w:r>
        <w:rPr>
          <w:color w:val="231F20"/>
          <w:sz w:val="12"/>
          <w:szCs w:val="12"/>
        </w:rPr>
        <w:t>3.70 ± 1.31</w:t>
      </w:r>
      <w:r>
        <w:rPr>
          <w:color w:val="231F20"/>
          <w:sz w:val="15"/>
          <w:szCs w:val="15"/>
          <w:vertAlign w:val="superscript"/>
        </w:rPr>
        <w:t xml:space="preserve">Ab </w:t>
      </w:r>
      <w:r>
        <w:rPr>
          <w:color w:val="231F20"/>
          <w:sz w:val="12"/>
          <w:szCs w:val="12"/>
        </w:rPr>
        <w:t>1.81 ± 0.09</w:t>
      </w:r>
      <w:r>
        <w:rPr>
          <w:color w:val="231F20"/>
          <w:sz w:val="15"/>
          <w:szCs w:val="15"/>
          <w:vertAlign w:val="superscript"/>
        </w:rPr>
        <w:t xml:space="preserve">Ac </w:t>
      </w:r>
      <w:r>
        <w:rPr>
          <w:color w:val="231F20"/>
          <w:sz w:val="12"/>
          <w:szCs w:val="12"/>
        </w:rPr>
        <w:t>1.13 ± 0.49</w:t>
      </w:r>
      <w:r>
        <w:rPr>
          <w:color w:val="231F20"/>
          <w:sz w:val="15"/>
          <w:szCs w:val="15"/>
          <w:vertAlign w:val="superscript"/>
        </w:rPr>
        <w:t>Ac</w:t>
      </w:r>
      <w:r>
        <w:rPr>
          <w:color w:val="231F20"/>
          <w:sz w:val="9"/>
          <w:szCs w:val="9"/>
        </w:rPr>
        <w:t xml:space="preserve"> </w:t>
      </w:r>
      <w:r>
        <w:rPr>
          <w:color w:val="231F20"/>
          <w:sz w:val="12"/>
          <w:szCs w:val="12"/>
        </w:rPr>
        <w:t>No thawing 5.66 ± 1.03</w:t>
      </w:r>
      <w:r>
        <w:rPr>
          <w:color w:val="231F20"/>
          <w:sz w:val="15"/>
          <w:szCs w:val="15"/>
          <w:vertAlign w:val="superscript"/>
        </w:rPr>
        <w:t xml:space="preserve">Aa </w:t>
      </w:r>
      <w:r>
        <w:rPr>
          <w:color w:val="231F20"/>
          <w:sz w:val="12"/>
          <w:szCs w:val="12"/>
        </w:rPr>
        <w:t>3.10 ± 1.12</w:t>
      </w:r>
      <w:r>
        <w:rPr>
          <w:color w:val="231F20"/>
          <w:sz w:val="15"/>
          <w:szCs w:val="15"/>
          <w:vertAlign w:val="superscript"/>
        </w:rPr>
        <w:t xml:space="preserve">Ab </w:t>
      </w:r>
      <w:r>
        <w:rPr>
          <w:color w:val="231F20"/>
          <w:sz w:val="12"/>
          <w:szCs w:val="12"/>
        </w:rPr>
        <w:t>2.02 ± 0.63</w:t>
      </w:r>
      <w:r>
        <w:rPr>
          <w:color w:val="231F20"/>
          <w:sz w:val="15"/>
          <w:szCs w:val="15"/>
          <w:vertAlign w:val="superscript"/>
        </w:rPr>
        <w:t xml:space="preserve">Ac </w:t>
      </w:r>
      <w:r>
        <w:rPr>
          <w:color w:val="231F20"/>
          <w:sz w:val="12"/>
          <w:szCs w:val="12"/>
        </w:rPr>
        <w:t>1.54 ± 0.69</w:t>
      </w:r>
      <w:r>
        <w:rPr>
          <w:color w:val="231F20"/>
          <w:sz w:val="15"/>
          <w:szCs w:val="15"/>
          <w:vertAlign w:val="superscript"/>
        </w:rPr>
        <w:t>Ac</w:t>
      </w:r>
    </w:p>
    <w:p w14:paraId="6BD012E2" w14:textId="77777777" w:rsidR="00EE1BBB" w:rsidRDefault="00EE1BBB" w:rsidP="00EE1BBB">
      <w:pPr>
        <w:pStyle w:val="Standard"/>
        <w:spacing w:before="113" w:line="264" w:lineRule="auto"/>
        <w:ind w:left="158" w:right="26"/>
        <w:jc w:val="both"/>
      </w:pPr>
      <w:r>
        <w:rPr>
          <w:color w:val="231F20"/>
          <w:sz w:val="12"/>
          <w:szCs w:val="12"/>
        </w:rPr>
        <w:t>Mean values with different upper case letters within a column are statistically different (P b 0.05). Mean values with different lower case letters within a row are statistically different (P b 0.05).</w:t>
      </w:r>
    </w:p>
    <w:p w14:paraId="287153A0"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1EA1EDC7" w14:textId="77777777" w:rsidR="00EE1BBB" w:rsidRDefault="00EE1BBB" w:rsidP="00EE1BBB">
      <w:pPr>
        <w:pStyle w:val="Standard"/>
        <w:spacing w:line="240" w:lineRule="auto"/>
        <w:ind w:right="29"/>
        <w:jc w:val="right"/>
      </w:pPr>
      <w:r>
        <w:rPr>
          <w:color w:val="231F20"/>
          <w:sz w:val="12"/>
          <w:szCs w:val="12"/>
        </w:rPr>
        <w:t>S.G. Manios, P.N. Skandamis / Meat Science 101 (2015) 25–32 31</w:t>
      </w:r>
    </w:p>
    <w:p w14:paraId="452BBE2A" w14:textId="77777777" w:rsidR="00EE1BBB" w:rsidRDefault="00EE1BBB" w:rsidP="00EE1BBB">
      <w:pPr>
        <w:pStyle w:val="Standard"/>
        <w:spacing w:before="186" w:line="240" w:lineRule="auto"/>
        <w:ind w:right="1004"/>
        <w:jc w:val="right"/>
      </w:pPr>
      <w:r>
        <w:rPr>
          <w:noProof/>
        </w:rPr>
        <w:lastRenderedPageBreak/>
        <w:drawing>
          <wp:inline distT="0" distB="0" distL="0" distR="0" wp14:anchorId="601AB45D" wp14:editId="7B8645AC">
            <wp:extent cx="5330860" cy="3233867"/>
            <wp:effectExtent l="0" t="0" r="3140" b="4633"/>
            <wp:docPr id="7" name="image7.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5330860" cy="3233867"/>
                    </a:xfrm>
                    <a:prstGeom prst="rect">
                      <a:avLst/>
                    </a:prstGeom>
                    <a:noFill/>
                    <a:ln>
                      <a:noFill/>
                      <a:prstDash/>
                    </a:ln>
                  </pic:spPr>
                </pic:pic>
              </a:graphicData>
            </a:graphic>
          </wp:inline>
        </w:drawing>
      </w:r>
    </w:p>
    <w:p w14:paraId="3A2B270D" w14:textId="77777777" w:rsidR="00EE1BBB" w:rsidRDefault="00EE1BBB" w:rsidP="00EE1BBB">
      <w:pPr>
        <w:pStyle w:val="Standard"/>
        <w:spacing w:line="264" w:lineRule="auto"/>
        <w:ind w:left="198" w:right="15" w:hanging="9"/>
      </w:pPr>
      <w:r>
        <w:rPr>
          <w:color w:val="231F20"/>
          <w:sz w:val="12"/>
          <w:szCs w:val="12"/>
        </w:rPr>
        <w:t>Fig. 4. Time–temperature profiles during cooking of beef patties in oven-broiler (open symbols) and pan-grill (closed symbols) until 71 °C after thawing on countertop (A), in microwave (B), in refrigerator (C) or without prior thawing (D). Each point represents the mean (±standard deviation) of 16 independent samples.</w:t>
      </w:r>
    </w:p>
    <w:p w14:paraId="2485F6BD"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space="720"/>
        </w:sectPr>
      </w:pPr>
    </w:p>
    <w:p w14:paraId="42578268" w14:textId="77777777" w:rsidR="00EE1BBB" w:rsidRDefault="00EE1BBB" w:rsidP="00EE1BBB">
      <w:pPr>
        <w:pStyle w:val="Standard"/>
        <w:spacing w:before="255" w:line="259" w:lineRule="auto"/>
        <w:ind w:left="1" w:right="179" w:firstLine="2"/>
      </w:pPr>
      <w:r>
        <w:rPr>
          <w:color w:val="231F20"/>
          <w:sz w:val="15"/>
          <w:szCs w:val="15"/>
        </w:rPr>
        <w:t>water, which was held within the myofibrils of meat (</w:t>
      </w:r>
      <w:r>
        <w:rPr>
          <w:color w:val="2E3092"/>
          <w:sz w:val="15"/>
          <w:szCs w:val="15"/>
        </w:rPr>
        <w:t>Barbera &amp; Tassone, 2006</w:t>
      </w:r>
      <w:r>
        <w:rPr>
          <w:color w:val="231F20"/>
          <w:sz w:val="15"/>
          <w:szCs w:val="15"/>
        </w:rPr>
        <w:t>), as well as the melted fat.</w:t>
      </w:r>
    </w:p>
    <w:p w14:paraId="3232B024" w14:textId="77777777" w:rsidR="00EE1BBB" w:rsidRDefault="00EE1BBB" w:rsidP="00EE1BBB">
      <w:pPr>
        <w:pStyle w:val="Standard"/>
        <w:spacing w:before="217" w:line="240" w:lineRule="auto"/>
      </w:pPr>
      <w:r>
        <w:rPr>
          <w:color w:val="231F20"/>
          <w:sz w:val="15"/>
          <w:szCs w:val="15"/>
        </w:rPr>
        <w:t>3.3. Combined effect of frozen storage duration and thawing method</w:t>
      </w:r>
    </w:p>
    <w:p w14:paraId="5D9C1F2E" w14:textId="77777777" w:rsidR="00EE1BBB" w:rsidRDefault="00EE1BBB" w:rsidP="00EE1BBB">
      <w:pPr>
        <w:pStyle w:val="Standard"/>
        <w:spacing w:before="232" w:line="259" w:lineRule="auto"/>
        <w:ind w:left="1" w:right="164" w:firstLine="246"/>
        <w:jc w:val="both"/>
      </w:pPr>
      <w:r>
        <w:rPr>
          <w:color w:val="231F20"/>
          <w:sz w:val="15"/>
          <w:szCs w:val="15"/>
        </w:rPr>
        <w:t>Remarkable was the combined effect of frozen storage duration and the thawing practice which was followed on the heat resistance of E. coli O157:H7 during cooking. In particular, the populations of the pathogen in samples which were stored at −22 °C for 5 days and were cooked in oven-broiler up to 71 °C without prior thawing declined by 5.0 ± 0.0 log CFU/g, while the corresponding reduction after 75 days of frozen storage was 2.5 ± 1.1 log CFU/g (</w:t>
      </w:r>
      <w:r>
        <w:rPr>
          <w:color w:val="2E3092"/>
          <w:sz w:val="15"/>
          <w:szCs w:val="15"/>
        </w:rPr>
        <w:t>Fig. 3</w:t>
      </w:r>
      <w:r>
        <w:rPr>
          <w:color w:val="231F20"/>
          <w:sz w:val="15"/>
          <w:szCs w:val="15"/>
        </w:rPr>
        <w:t>). Similarly but on a lower extent, populations of E. coli O157:H7 reduced by 4.4 ± 1.0 log CFU/g after long-term frozen storage and thawing under refrigerated conditions, following cooking at 71 °C in the oven-broiler, compared with the reductions (5.2 ± 0.0 log CFU/g) caused after short-term storage at −22 °C and thawing/cooking under the same conditions. The counts on the non-selective medium showed that significant injury occurred after long term frozen storage and following cooking; however the level of injury was comparable to that observed after short term storage. Therefore, the higher survival of E. coli O157:H7 after 75 days of frozen storage and cooking without previous thawing is rather independent of the enumeration method for the pathogens (</w:t>
      </w:r>
      <w:r>
        <w:rPr>
          <w:color w:val="2E3092"/>
          <w:sz w:val="15"/>
          <w:szCs w:val="15"/>
        </w:rPr>
        <w:t>Fig. 3</w:t>
      </w:r>
      <w:r>
        <w:rPr>
          <w:color w:val="231F20"/>
          <w:sz w:val="15"/>
          <w:szCs w:val="15"/>
        </w:rPr>
        <w:t>). Following cooking in pan-grill at 71 °C or undercooking (60 °C) of samples, such phenom enon was not evident probably due to the low potential of these cooking practices to cause significant decrease of the populations of the pathogen (</w:t>
      </w:r>
      <w:r>
        <w:rPr>
          <w:color w:val="2E3092"/>
          <w:sz w:val="15"/>
          <w:szCs w:val="15"/>
        </w:rPr>
        <w:t>Fig. 3</w:t>
      </w:r>
      <w:r>
        <w:rPr>
          <w:color w:val="231F20"/>
          <w:sz w:val="15"/>
          <w:szCs w:val="15"/>
        </w:rPr>
        <w:t>). Contrary to E. coli O157:H7, Salmonella spp. did not show any induced heat tolerance regardless of the frozen storage duration, the thawing method or the cooking practice which was followed (</w:t>
      </w:r>
      <w:r>
        <w:rPr>
          <w:color w:val="2E3092"/>
          <w:sz w:val="15"/>
          <w:szCs w:val="15"/>
        </w:rPr>
        <w:t>Fig. 2</w:t>
      </w:r>
      <w:r>
        <w:rPr>
          <w:color w:val="231F20"/>
          <w:sz w:val="15"/>
          <w:szCs w:val="15"/>
        </w:rPr>
        <w:t>).</w:t>
      </w:r>
    </w:p>
    <w:p w14:paraId="49651A33" w14:textId="77777777" w:rsidR="00EE1BBB" w:rsidRDefault="00EE1BBB" w:rsidP="00EE1BBB">
      <w:pPr>
        <w:pStyle w:val="Standard"/>
        <w:spacing w:before="7" w:line="259" w:lineRule="auto"/>
        <w:ind w:left="7" w:right="165" w:firstLine="233"/>
        <w:jc w:val="both"/>
      </w:pPr>
      <w:r>
        <w:rPr>
          <w:color w:val="231F20"/>
          <w:sz w:val="15"/>
          <w:szCs w:val="15"/>
        </w:rPr>
        <w:t>There is lack of literature evidence on induced heat tolerance of pathogens due to frozen storage. In contrast, cold shock is generally recognized that sensitizes pathogenic bacteria against further thermal processes (</w:t>
      </w:r>
      <w:r>
        <w:rPr>
          <w:color w:val="2E3092"/>
          <w:sz w:val="15"/>
          <w:szCs w:val="15"/>
        </w:rPr>
        <w:t>Byrne et al., 2002; Novak &amp; Juneja, 2003; Shen et al., 2011b</w:t>
      </w:r>
      <w:r>
        <w:rPr>
          <w:color w:val="231F20"/>
          <w:sz w:val="15"/>
          <w:szCs w:val="15"/>
        </w:rPr>
        <w:t>), by prohibiting the coding of thermal-protective proteins (</w:t>
      </w:r>
      <w:r>
        <w:rPr>
          <w:color w:val="2E3092"/>
          <w:sz w:val="15"/>
          <w:szCs w:val="15"/>
        </w:rPr>
        <w:t>Miller, Bayles, &amp; Eblen, 2000</w:t>
      </w:r>
      <w:r>
        <w:rPr>
          <w:color w:val="231F20"/>
          <w:sz w:val="15"/>
          <w:szCs w:val="15"/>
        </w:rPr>
        <w:t>) or due to the mechanical injuries that may occur during freezing (</w:t>
      </w:r>
      <w:r>
        <w:rPr>
          <w:color w:val="2E3092"/>
          <w:sz w:val="15"/>
          <w:szCs w:val="15"/>
        </w:rPr>
        <w:t>Dominguez &amp; Schaffner, 2009</w:t>
      </w:r>
      <w:r>
        <w:rPr>
          <w:color w:val="231F20"/>
          <w:sz w:val="15"/>
          <w:szCs w:val="15"/>
        </w:rPr>
        <w:t>). However, in these studies the duration of frozen storage was limited up to a few</w:t>
      </w:r>
    </w:p>
    <w:p w14:paraId="46AB0559" w14:textId="77777777" w:rsidR="00EE1BBB" w:rsidRDefault="00EE1BBB" w:rsidP="00EE1BBB">
      <w:pPr>
        <w:pStyle w:val="Standard"/>
        <w:spacing w:line="259" w:lineRule="auto"/>
        <w:ind w:left="160" w:right="4" w:firstLine="7"/>
        <w:jc w:val="both"/>
      </w:pPr>
      <w:r>
        <w:rPr>
          <w:color w:val="231F20"/>
          <w:sz w:val="15"/>
          <w:szCs w:val="15"/>
        </w:rPr>
        <w:t xml:space="preserve">hours or days and thus, the effect of long term frozen storage has not been determined. Indeed, </w:t>
      </w:r>
      <w:r>
        <w:rPr>
          <w:color w:val="2E3092"/>
          <w:sz w:val="15"/>
          <w:szCs w:val="15"/>
        </w:rPr>
        <w:t xml:space="preserve">Jackson, Hardin, and Acuff (1995) </w:t>
      </w:r>
      <w:r>
        <w:rPr>
          <w:color w:val="231F20"/>
          <w:sz w:val="15"/>
          <w:szCs w:val="15"/>
        </w:rPr>
        <w:t>demon strated higher survival of E. coli O157:H7 after thermal treatment at 55 °C in nutrient broth, which was pre-stored at −18 °C for 8 or 15 days, compared with cultures that remained frozen for 1 day. It is speculated that this induced heat tolerance of E. coli O157:H7 may be attributed to mechanisms used by the cells to survive long-term frozen storage (i.e. specific protein synthesis) or to the structural properties of long-term stored patties compared with patties which are stored under frozen conditions for a shorter period (i.e. size of formed ice crystals). Therefore, it is essential to further investigate this phenomenon either by mapping the protein synthesis profile during frozen storage and/or after different thawing practices or to study potential structural damages that occur during frozen storage (short- and long-term) that may further facilitate the inactivation of the pathogen. In addition, the increased heat tolerance of the pathogen was observed primarily in frozen samples and in samples which were thawed in refrigerator, compared with samples thawed on counter or in microwave. The metabolic activity of the pathogen during thawing on counter or during holding and preparing the samples after thawing in microwave (approximately 30 min) could possibly lead to the loss of the protective effect of freezing (</w:t>
      </w:r>
      <w:r>
        <w:rPr>
          <w:color w:val="2E3092"/>
          <w:sz w:val="15"/>
          <w:szCs w:val="15"/>
        </w:rPr>
        <w:t>Jackson et al., 1995</w:t>
      </w:r>
      <w:r>
        <w:rPr>
          <w:color w:val="231F20"/>
          <w:sz w:val="15"/>
          <w:szCs w:val="15"/>
        </w:rPr>
        <w:t>).</w:t>
      </w:r>
    </w:p>
    <w:p w14:paraId="29F8F39C" w14:textId="77777777" w:rsidR="00EE1BBB" w:rsidRDefault="00EE1BBB" w:rsidP="00EE1BBB">
      <w:pPr>
        <w:pStyle w:val="Standard"/>
        <w:spacing w:before="218" w:line="240" w:lineRule="auto"/>
        <w:ind w:left="160"/>
      </w:pPr>
      <w:r>
        <w:rPr>
          <w:color w:val="231F20"/>
          <w:sz w:val="15"/>
          <w:szCs w:val="15"/>
        </w:rPr>
        <w:t>4. Conclusions</w:t>
      </w:r>
    </w:p>
    <w:p w14:paraId="4EA67E10" w14:textId="77777777" w:rsidR="00EE1BBB" w:rsidRDefault="00EE1BBB" w:rsidP="00EE1BBB">
      <w:pPr>
        <w:pStyle w:val="Standard"/>
        <w:spacing w:before="232" w:line="259" w:lineRule="auto"/>
        <w:ind w:left="160" w:right="4" w:firstLine="239"/>
        <w:jc w:val="both"/>
      </w:pPr>
      <w:r>
        <w:rPr>
          <w:color w:val="231F20"/>
          <w:sz w:val="15"/>
          <w:szCs w:val="15"/>
        </w:rPr>
        <w:t>An attempt to simulate the most common handling practices during storage of ground beef and preparation of beef patties was made, even if these practices are not in accordance to the issued guidelines, in order to evaluate their effect of the survival of two major pathogens. Overall, it was found that the combined effect of sequentially applied practices such as freezing, thawing and cooking may have significantly different impact on the heat resistance of pathogens, compared with the applica tion of a single treatment. In particular, long-term frozen storage, in association with direct cooking without prior thawing, may induce the thermo-tolerance of E. coli O157:H7. Furthermore, cooking in pan-grill may not ensure the final safety of beef patties, even if the internal cooking temperature is in accordance with the recommendations. Thus, it is highlighted the significance to incorporate the frozen storage</w:t>
      </w:r>
    </w:p>
    <w:p w14:paraId="643F1635"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num="2" w:space="720" w:equalWidth="0">
            <w:col w:w="5293" w:space="0"/>
            <w:col w:w="5292" w:space="0"/>
          </w:cols>
        </w:sectPr>
      </w:pPr>
    </w:p>
    <w:p w14:paraId="6343ECC2" w14:textId="77777777" w:rsidR="00EE1BBB" w:rsidRDefault="00EE1BBB" w:rsidP="00EE1BBB">
      <w:pPr>
        <w:pStyle w:val="Standard"/>
        <w:spacing w:line="240" w:lineRule="auto"/>
        <w:ind w:left="12"/>
      </w:pPr>
      <w:r>
        <w:rPr>
          <w:color w:val="231F20"/>
          <w:sz w:val="12"/>
          <w:szCs w:val="12"/>
        </w:rPr>
        <w:t>32 S.G. Manios, P.N. Skandamis / Meat Science 101 (2015) 25–32</w:t>
      </w:r>
    </w:p>
    <w:p w14:paraId="3FDEB1D5" w14:textId="77777777" w:rsidR="00EE1BBB" w:rsidRDefault="00EE1BBB" w:rsidP="00EE1BBB">
      <w:pPr>
        <w:rPr>
          <w:rFonts w:cs="Mangal"/>
          <w:szCs w:val="20"/>
        </w:rPr>
        <w:sectPr w:rsidR="00EE1BBB">
          <w:type w:val="continuous"/>
          <w:pgSz w:w="11906" w:h="15860"/>
          <w:pgMar w:top="728" w:right="656" w:bottom="995" w:left="665" w:header="720" w:footer="720" w:gutter="0"/>
          <w:pgNumType w:start="1"/>
          <w:cols w:space="720"/>
        </w:sectPr>
      </w:pPr>
    </w:p>
    <w:p w14:paraId="5D590CAC" w14:textId="77777777" w:rsidR="00EE1BBB" w:rsidRDefault="00EE1BBB" w:rsidP="00EE1BBB">
      <w:pPr>
        <w:pStyle w:val="Standard"/>
        <w:spacing w:before="236" w:line="259" w:lineRule="auto"/>
        <w:ind w:left="13" w:right="175" w:firstLine="3"/>
        <w:jc w:val="both"/>
      </w:pPr>
      <w:r>
        <w:rPr>
          <w:color w:val="231F20"/>
          <w:sz w:val="15"/>
          <w:szCs w:val="15"/>
        </w:rPr>
        <w:t>duration and the cooking method as a potential variable to the issued guidelines. In parallel, the results may be used to instruct the food handlers for the appropriate defrosting or cooking practices of beef patties, taking into account the variability that might occur for practical purposes in different establishments (i.e. households, food caterings, and restaurants).</w:t>
      </w:r>
    </w:p>
    <w:p w14:paraId="3C480996" w14:textId="77777777" w:rsidR="00EE1BBB" w:rsidRDefault="00EE1BBB" w:rsidP="00EE1BBB">
      <w:pPr>
        <w:pStyle w:val="Standard"/>
        <w:spacing w:before="427" w:line="240" w:lineRule="auto"/>
        <w:ind w:left="8"/>
      </w:pPr>
      <w:r>
        <w:rPr>
          <w:color w:val="231F20"/>
          <w:sz w:val="15"/>
          <w:szCs w:val="15"/>
        </w:rPr>
        <w:t>Acknowledgments</w:t>
      </w:r>
    </w:p>
    <w:p w14:paraId="32A496EF" w14:textId="77777777" w:rsidR="00EE1BBB" w:rsidRDefault="00EE1BBB" w:rsidP="00EE1BBB">
      <w:pPr>
        <w:pStyle w:val="Standard"/>
        <w:spacing w:before="232" w:line="259" w:lineRule="auto"/>
        <w:ind w:left="15" w:right="194" w:firstLine="233"/>
        <w:jc w:val="both"/>
      </w:pPr>
      <w:r>
        <w:rPr>
          <w:color w:val="231F20"/>
          <w:sz w:val="15"/>
          <w:szCs w:val="15"/>
        </w:rPr>
        <w:t>This work was funded by the project “TROFANTO”, which was co-funded by the meat Industry FLORIDIS S.A. and the General Secretariat for Research and Technology under the National Initiative “Strengthening SMEs”, action “Support of New Enterprises for Research and Technological Activities”, Grant Agreement No. 14NEWE2009.</w:t>
      </w:r>
    </w:p>
    <w:p w14:paraId="6F3F27B0" w14:textId="77777777" w:rsidR="00EE1BBB" w:rsidRDefault="00EE1BBB" w:rsidP="00EE1BBB">
      <w:pPr>
        <w:pStyle w:val="Standard"/>
        <w:spacing w:before="427" w:line="240" w:lineRule="auto"/>
        <w:ind w:left="14"/>
      </w:pPr>
      <w:r>
        <w:rPr>
          <w:color w:val="231F20"/>
          <w:sz w:val="15"/>
          <w:szCs w:val="15"/>
        </w:rPr>
        <w:lastRenderedPageBreak/>
        <w:t>References</w:t>
      </w:r>
    </w:p>
    <w:p w14:paraId="64E2751C" w14:textId="77777777" w:rsidR="00EE1BBB" w:rsidRDefault="00EE1BBB" w:rsidP="00EE1BBB">
      <w:pPr>
        <w:pStyle w:val="Standard"/>
        <w:spacing w:before="164" w:line="244" w:lineRule="auto"/>
        <w:ind w:left="249" w:right="195" w:hanging="239"/>
      </w:pPr>
      <w:r>
        <w:rPr>
          <w:color w:val="231F20"/>
          <w:sz w:val="12"/>
          <w:szCs w:val="12"/>
        </w:rPr>
        <w:t xml:space="preserve">Abee, T., &amp; Wouters, J.A. (1999). </w:t>
      </w:r>
      <w:r>
        <w:rPr>
          <w:color w:val="2E3092"/>
          <w:sz w:val="12"/>
          <w:szCs w:val="12"/>
        </w:rPr>
        <w:t>Microbial stress response in minimal processing. International Journal of Food Microbiology, 50(1–2), 65–91.</w:t>
      </w:r>
    </w:p>
    <w:p w14:paraId="5EB39BD8" w14:textId="77777777" w:rsidR="00EE1BBB" w:rsidRDefault="00EE1BBB" w:rsidP="00EE1BBB">
      <w:pPr>
        <w:pStyle w:val="Standard"/>
        <w:spacing w:before="6" w:line="244" w:lineRule="auto"/>
        <w:ind w:left="248" w:right="192" w:hanging="238"/>
        <w:jc w:val="both"/>
      </w:pPr>
      <w:r>
        <w:rPr>
          <w:color w:val="231F20"/>
          <w:sz w:val="12"/>
          <w:szCs w:val="12"/>
        </w:rPr>
        <w:t xml:space="preserve">Ahmed, M.N., Conner, D.E., &amp; Huffman, D.L. (1995). </w:t>
      </w:r>
      <w:r>
        <w:rPr>
          <w:color w:val="2E3092"/>
          <w:sz w:val="12"/>
          <w:szCs w:val="12"/>
        </w:rPr>
        <w:t>Heat-resistance of Escherichia coli O157:H7 in meat and poultry as affected by product composition. Journal of Food Science, 60, 606–610.</w:t>
      </w:r>
    </w:p>
    <w:p w14:paraId="2B6EA428" w14:textId="77777777" w:rsidR="00EE1BBB" w:rsidRDefault="00EE1BBB" w:rsidP="00EE1BBB">
      <w:pPr>
        <w:pStyle w:val="Standard"/>
        <w:spacing w:before="5" w:line="244" w:lineRule="auto"/>
        <w:ind w:left="251" w:right="189" w:hanging="241"/>
        <w:jc w:val="both"/>
      </w:pPr>
      <w:r>
        <w:rPr>
          <w:color w:val="231F20"/>
          <w:sz w:val="12"/>
          <w:szCs w:val="12"/>
        </w:rPr>
        <w:t xml:space="preserve">Ansay, S.E., Darling, K.A., &amp; Kaspar, C.W. (1999). </w:t>
      </w:r>
      <w:r>
        <w:rPr>
          <w:color w:val="2E3092"/>
          <w:sz w:val="12"/>
          <w:szCs w:val="12"/>
        </w:rPr>
        <w:t>Survival of Escherichia coli O157:H7 in ground beef patties during storage at 2, −2, 15 and then −2 °C, and 20 °C. Journal of Food Protection, 62(11), 1243–1247.</w:t>
      </w:r>
    </w:p>
    <w:p w14:paraId="4E9C6194" w14:textId="77777777" w:rsidR="00EE1BBB" w:rsidRDefault="00EE1BBB" w:rsidP="00EE1BBB">
      <w:pPr>
        <w:pStyle w:val="Standard"/>
        <w:spacing w:before="5" w:line="244" w:lineRule="auto"/>
        <w:ind w:left="15" w:right="190"/>
      </w:pPr>
      <w:r>
        <w:rPr>
          <w:color w:val="231F20"/>
          <w:sz w:val="12"/>
          <w:szCs w:val="12"/>
        </w:rPr>
        <w:t xml:space="preserve">Badrie, N., Gobin, A., Dookeran, S., &amp; Duncan, R. (2006). </w:t>
      </w:r>
      <w:r>
        <w:rPr>
          <w:color w:val="2E3092"/>
          <w:sz w:val="12"/>
          <w:szCs w:val="12"/>
        </w:rPr>
        <w:t xml:space="preserve">Consumer awareness and percep tion to food safety hazards in Trinidad, West Indies. Food Control, 17(5), 370–377. </w:t>
      </w:r>
      <w:r>
        <w:rPr>
          <w:color w:val="231F20"/>
          <w:sz w:val="12"/>
          <w:szCs w:val="12"/>
        </w:rPr>
        <w:t xml:space="preserve">Barbera, S., &amp; Tassone, S. (2006). </w:t>
      </w:r>
      <w:r>
        <w:rPr>
          <w:color w:val="2E3092"/>
          <w:sz w:val="12"/>
          <w:szCs w:val="12"/>
        </w:rPr>
        <w:t>Meat cooking shrinkage: Measurement of a new meat quality parameter. Meat Science, 73(3), 467–474.</w:t>
      </w:r>
    </w:p>
    <w:p w14:paraId="60585CCE" w14:textId="77777777" w:rsidR="00EE1BBB" w:rsidRDefault="00EE1BBB" w:rsidP="00EE1BBB">
      <w:pPr>
        <w:pStyle w:val="Standard"/>
        <w:spacing w:before="6" w:line="244" w:lineRule="auto"/>
        <w:ind w:left="249" w:right="168" w:hanging="234"/>
      </w:pPr>
      <w:r>
        <w:rPr>
          <w:color w:val="231F20"/>
          <w:sz w:val="12"/>
          <w:szCs w:val="12"/>
        </w:rPr>
        <w:t xml:space="preserve">Barrell, R.A.E. (1988). </w:t>
      </w:r>
      <w:r>
        <w:rPr>
          <w:color w:val="2E3092"/>
          <w:sz w:val="12"/>
          <w:szCs w:val="12"/>
        </w:rPr>
        <w:t>The survival and recovery of Salmonella Typhimurium phage type U285 in frozen meats and tryptone soya yeast extract broth. International Journal of Food Microbiology, 6, 309–316.</w:t>
      </w:r>
    </w:p>
    <w:p w14:paraId="38ED3635" w14:textId="77777777" w:rsidR="00EE1BBB" w:rsidRDefault="00EE1BBB" w:rsidP="00EE1BBB">
      <w:pPr>
        <w:pStyle w:val="Standard"/>
        <w:spacing w:before="5" w:line="244" w:lineRule="auto"/>
        <w:ind w:left="15" w:right="177"/>
      </w:pPr>
      <w:r>
        <w:rPr>
          <w:color w:val="231F20"/>
          <w:sz w:val="12"/>
          <w:szCs w:val="12"/>
        </w:rPr>
        <w:t xml:space="preserve">Berry, B.W. (1998). </w:t>
      </w:r>
      <w:r>
        <w:rPr>
          <w:color w:val="2E3092"/>
          <w:sz w:val="12"/>
          <w:szCs w:val="12"/>
        </w:rPr>
        <w:t xml:space="preserve">Cooked color in high pH beef patties as related to fat content and cooking from the frozen or thawed state. Journal of Food Science, 63(5), 797–800. </w:t>
      </w:r>
      <w:r>
        <w:rPr>
          <w:color w:val="231F20"/>
          <w:sz w:val="12"/>
          <w:szCs w:val="12"/>
        </w:rPr>
        <w:t xml:space="preserve">Byrne, C.M., Bolton, D.J., Sheridan, J.J., Blair, I.S., &amp; McDowell, D.A. (2002). </w:t>
      </w:r>
      <w:r>
        <w:rPr>
          <w:color w:val="2E3092"/>
          <w:sz w:val="12"/>
          <w:szCs w:val="12"/>
        </w:rPr>
        <w:t>The effect of commercial production and product formulation stresses on the heat resistance of Escherichia coli O157:H7 (NCTC 12900) in beef burgers. International Journal of Food Microbiology, 79(3), 183–192.</w:t>
      </w:r>
    </w:p>
    <w:p w14:paraId="7F457441" w14:textId="77777777" w:rsidR="00EE1BBB" w:rsidRDefault="00EE1BBB" w:rsidP="00EE1BBB">
      <w:pPr>
        <w:pStyle w:val="Standard"/>
        <w:spacing w:before="4" w:line="244" w:lineRule="auto"/>
        <w:ind w:left="249" w:right="180" w:hanging="234"/>
        <w:jc w:val="both"/>
      </w:pPr>
      <w:r>
        <w:rPr>
          <w:color w:val="231F20"/>
          <w:sz w:val="12"/>
          <w:szCs w:val="12"/>
        </w:rPr>
        <w:t xml:space="preserve">Centers for Disease Control and Prevention (CDC) (2002). </w:t>
      </w:r>
      <w:r>
        <w:rPr>
          <w:color w:val="2E3092"/>
          <w:sz w:val="12"/>
          <w:szCs w:val="12"/>
        </w:rPr>
        <w:t>Multistate outbreak of Escherichia coli O157:H7 infections associated with eating ground beef—United States, June–July 2002. MMWR. Morbidity and Mortality Weekly Report, 51, 637–660.</w:t>
      </w:r>
    </w:p>
    <w:p w14:paraId="2689DC1F" w14:textId="77777777" w:rsidR="00EE1BBB" w:rsidRDefault="00EE1BBB" w:rsidP="00EE1BBB">
      <w:pPr>
        <w:pStyle w:val="Standard"/>
        <w:spacing w:before="5" w:line="247" w:lineRule="auto"/>
        <w:ind w:left="255" w:right="178" w:hanging="239"/>
        <w:jc w:val="both"/>
      </w:pPr>
      <w:r>
        <w:rPr>
          <w:color w:val="231F20"/>
          <w:sz w:val="12"/>
          <w:szCs w:val="12"/>
        </w:rPr>
        <w:t xml:space="preserve">Centers for Disease Control and Prevention (CDC) (2010). </w:t>
      </w:r>
      <w:r>
        <w:rPr>
          <w:color w:val="2E3092"/>
          <w:sz w:val="12"/>
          <w:szCs w:val="12"/>
        </w:rPr>
        <w:t>Two multistate outbreaks of shiga toxin-producing Escherichia coli infections linked to beef from a single slaughter facility—United States, 2008. MMWR. Morbidity and Mortality Weekly Report, 59, 557–560.</w:t>
      </w:r>
    </w:p>
    <w:p w14:paraId="11CE6A81" w14:textId="77777777" w:rsidR="00EE1BBB" w:rsidRDefault="00EE1BBB" w:rsidP="00EE1BBB">
      <w:pPr>
        <w:pStyle w:val="Standard"/>
        <w:spacing w:before="4" w:line="247" w:lineRule="auto"/>
        <w:ind w:left="248" w:right="188" w:hanging="233"/>
        <w:jc w:val="both"/>
      </w:pPr>
      <w:r>
        <w:rPr>
          <w:color w:val="231F20"/>
          <w:sz w:val="12"/>
          <w:szCs w:val="12"/>
        </w:rPr>
        <w:t xml:space="preserve">Centers for Disease Control, Prevention (CDC) (2011). Multistate outbreak of human Salmonella Typhimurium infections linked to ground beef (Final update). Avail able at: </w:t>
      </w:r>
      <w:r>
        <w:rPr>
          <w:color w:val="2E3092"/>
          <w:sz w:val="12"/>
          <w:szCs w:val="12"/>
        </w:rPr>
        <w:t xml:space="preserve">http://www.cdc.gov/salmonella/typhimurium-groundbeef/020112/ index.html </w:t>
      </w:r>
      <w:r>
        <w:rPr>
          <w:color w:val="231F20"/>
          <w:sz w:val="12"/>
          <w:szCs w:val="12"/>
        </w:rPr>
        <w:t>(Accessed at 02/2014)</w:t>
      </w:r>
    </w:p>
    <w:p w14:paraId="36D89727" w14:textId="77777777" w:rsidR="00EE1BBB" w:rsidRDefault="00EE1BBB" w:rsidP="00EE1BBB">
      <w:pPr>
        <w:pStyle w:val="Standard"/>
        <w:spacing w:before="5" w:line="244" w:lineRule="auto"/>
        <w:ind w:left="253" w:right="192" w:hanging="237"/>
        <w:jc w:val="both"/>
      </w:pPr>
      <w:r>
        <w:rPr>
          <w:color w:val="231F20"/>
          <w:sz w:val="12"/>
          <w:szCs w:val="12"/>
        </w:rPr>
        <w:t xml:space="preserve">Centers for Disease Control, Prevention (CDC) (2012a). Multistate outbreak of shiga toxin-producing Escherichia coli O145 infections (Final update). Available at: </w:t>
      </w:r>
      <w:r>
        <w:rPr>
          <w:color w:val="2E3092"/>
          <w:sz w:val="12"/>
          <w:szCs w:val="12"/>
        </w:rPr>
        <w:t xml:space="preserve">http://www.cdc.gov/ecoli/2012/O145-06-12/index.html </w:t>
      </w:r>
      <w:r>
        <w:rPr>
          <w:color w:val="231F20"/>
          <w:sz w:val="12"/>
          <w:szCs w:val="12"/>
        </w:rPr>
        <w:t>(Accessed at 02/2014)</w:t>
      </w:r>
    </w:p>
    <w:p w14:paraId="2E2B872A" w14:textId="77777777" w:rsidR="00EE1BBB" w:rsidRDefault="00EE1BBB" w:rsidP="00EE1BBB">
      <w:pPr>
        <w:pStyle w:val="Standard"/>
        <w:spacing w:before="4" w:line="244" w:lineRule="auto"/>
        <w:ind w:left="254" w:right="193" w:hanging="238"/>
        <w:jc w:val="both"/>
      </w:pPr>
      <w:r>
        <w:rPr>
          <w:color w:val="231F20"/>
          <w:sz w:val="12"/>
          <w:szCs w:val="12"/>
        </w:rPr>
        <w:t xml:space="preserve">Centers for Disease Control, Prevention (CDC) (2012b). Multistate outbreak of Salmonella Enteritidis infections linked to ground beef (Final update). Available at: </w:t>
      </w:r>
      <w:r>
        <w:rPr>
          <w:color w:val="2E3092"/>
          <w:sz w:val="12"/>
          <w:szCs w:val="12"/>
        </w:rPr>
        <w:t xml:space="preserve">http://www. cdc.gov/salmonella/enteritidis-07-12/index.html </w:t>
      </w:r>
      <w:r>
        <w:rPr>
          <w:color w:val="231F20"/>
          <w:sz w:val="12"/>
          <w:szCs w:val="12"/>
        </w:rPr>
        <w:t>(Accessed at 02/2014)</w:t>
      </w:r>
    </w:p>
    <w:p w14:paraId="56ED217C" w14:textId="77777777" w:rsidR="00EE1BBB" w:rsidRDefault="00EE1BBB" w:rsidP="00EE1BBB">
      <w:pPr>
        <w:pStyle w:val="Standard"/>
        <w:spacing w:before="5" w:line="244" w:lineRule="auto"/>
        <w:ind w:left="249" w:right="191" w:hanging="234"/>
        <w:jc w:val="both"/>
      </w:pPr>
      <w:r>
        <w:rPr>
          <w:color w:val="231F20"/>
          <w:sz w:val="12"/>
          <w:szCs w:val="12"/>
        </w:rPr>
        <w:t xml:space="preserve">Czechowicz, M., &amp; Zottola, A. (1996). </w:t>
      </w:r>
      <w:r>
        <w:rPr>
          <w:color w:val="2E3092"/>
          <w:sz w:val="12"/>
          <w:szCs w:val="12"/>
        </w:rPr>
        <w:t>Recovery of thermally-stressed Escherichia coli O157:H7 by media supplemented with pyruvate. International Journal of Food Microbiology, 33, 275–284.</w:t>
      </w:r>
    </w:p>
    <w:p w14:paraId="622A79F8" w14:textId="77777777" w:rsidR="00EE1BBB" w:rsidRDefault="00EE1BBB" w:rsidP="00EE1BBB">
      <w:pPr>
        <w:pStyle w:val="Standard"/>
        <w:spacing w:before="5" w:line="244" w:lineRule="auto"/>
        <w:ind w:left="254" w:right="193" w:hanging="238"/>
        <w:jc w:val="both"/>
      </w:pPr>
      <w:r>
        <w:rPr>
          <w:color w:val="231F20"/>
          <w:sz w:val="12"/>
          <w:szCs w:val="12"/>
        </w:rPr>
        <w:t xml:space="preserve">D'Sa, E.M., Harrison, M. a, Williams, S.E., &amp; Broccoli, M.H. (2000). </w:t>
      </w:r>
      <w:r>
        <w:rPr>
          <w:color w:val="2E3092"/>
          <w:sz w:val="12"/>
          <w:szCs w:val="12"/>
        </w:rPr>
        <w:t>Effectiveness of two cooking systems in destroying Escherichia coli O157:H7 and Listeria monocytogenes in ground beef patties. Journal of Food Protection, 63(7), 894–899.</w:t>
      </w:r>
    </w:p>
    <w:p w14:paraId="12961CD4" w14:textId="77777777" w:rsidR="00EE1BBB" w:rsidRDefault="00EE1BBB" w:rsidP="00EE1BBB">
      <w:pPr>
        <w:pStyle w:val="Standard"/>
        <w:spacing w:before="5" w:line="244" w:lineRule="auto"/>
        <w:ind w:left="15" w:right="188"/>
      </w:pPr>
      <w:r>
        <w:rPr>
          <w:color w:val="231F20"/>
          <w:sz w:val="12"/>
          <w:szCs w:val="12"/>
        </w:rPr>
        <w:t xml:space="preserve">Dominguez, S.A., &amp; Schaffner, D.W. (2009). </w:t>
      </w:r>
      <w:r>
        <w:rPr>
          <w:color w:val="2E3092"/>
          <w:sz w:val="12"/>
          <w:szCs w:val="12"/>
        </w:rPr>
        <w:t xml:space="preserve">Survival of Salmonella in processed chicken products during frozen storage. Journal of Food Protection, 72(10), 2088–2092. </w:t>
      </w:r>
      <w:r>
        <w:rPr>
          <w:color w:val="231F20"/>
          <w:sz w:val="12"/>
          <w:szCs w:val="12"/>
        </w:rPr>
        <w:t xml:space="preserve">Elkest, S.E., &amp; Marth, E.H. (1992). </w:t>
      </w:r>
      <w:r>
        <w:rPr>
          <w:color w:val="2E3092"/>
          <w:sz w:val="12"/>
          <w:szCs w:val="12"/>
        </w:rPr>
        <w:t xml:space="preserve">Freezing of Listeria monocytogenes and other microorganisms—A review. Journal of Food Protection, 55(8), 639–648. </w:t>
      </w:r>
      <w:r>
        <w:rPr>
          <w:color w:val="231F20"/>
          <w:sz w:val="12"/>
          <w:szCs w:val="12"/>
        </w:rPr>
        <w:t xml:space="preserve">Gilbert, S.E., Whyte, R., Bayne, G., Paulin, S.M., Lake, R.J., &amp; Van Der, Logt P. (2007). </w:t>
      </w:r>
      <w:r>
        <w:rPr>
          <w:color w:val="2E3092"/>
          <w:sz w:val="12"/>
          <w:szCs w:val="12"/>
        </w:rPr>
        <w:t>Survey of domestic food handling practices in New Zealand. International Journal of Food Microbiology, 117(3), 306–311.</w:t>
      </w:r>
    </w:p>
    <w:p w14:paraId="23DC9C8D" w14:textId="77777777" w:rsidR="00EE1BBB" w:rsidRDefault="00EE1BBB" w:rsidP="00EE1BBB">
      <w:pPr>
        <w:pStyle w:val="Standard"/>
        <w:spacing w:before="5" w:line="244" w:lineRule="auto"/>
        <w:ind w:left="253" w:right="195" w:hanging="237"/>
      </w:pPr>
      <w:r>
        <w:rPr>
          <w:color w:val="231F20"/>
          <w:sz w:val="12"/>
          <w:szCs w:val="12"/>
        </w:rPr>
        <w:t xml:space="preserve">Gill, C., Moza, L., &amp; Barbut, S. (2009). </w:t>
      </w:r>
      <w:r>
        <w:rPr>
          <w:color w:val="2E3092"/>
          <w:sz w:val="12"/>
          <w:szCs w:val="12"/>
        </w:rPr>
        <w:t>Survival of bacteria in less than thorough cooked, brine-injected steaks. Food Control, 20(5), 501–507.</w:t>
      </w:r>
    </w:p>
    <w:p w14:paraId="616E9527" w14:textId="77777777" w:rsidR="00EE1BBB" w:rsidRDefault="00EE1BBB" w:rsidP="00EE1BBB">
      <w:pPr>
        <w:pStyle w:val="Standard"/>
        <w:spacing w:before="6" w:line="244" w:lineRule="auto"/>
        <w:ind w:left="255" w:right="194" w:hanging="255"/>
        <w:jc w:val="both"/>
      </w:pPr>
      <w:r>
        <w:rPr>
          <w:color w:val="231F20"/>
          <w:sz w:val="12"/>
          <w:szCs w:val="12"/>
        </w:rPr>
        <w:t xml:space="preserve">Jackson, T.C., Hardin, M.D., &amp; Acuff, G.R. (1995). </w:t>
      </w:r>
      <w:r>
        <w:rPr>
          <w:color w:val="2E3092"/>
          <w:sz w:val="12"/>
          <w:szCs w:val="12"/>
        </w:rPr>
        <w:t>Heat resistance of Escherichia coli O157: H7 in a nutrient medium and in ground beef patties as influenced by storage and holding temperatures. Journal of Food Protection, 59(3), 230–237.</w:t>
      </w:r>
    </w:p>
    <w:p w14:paraId="6A5CE164" w14:textId="77777777" w:rsidR="00EE1BBB" w:rsidRDefault="00EE1BBB" w:rsidP="00EE1BBB">
      <w:pPr>
        <w:pStyle w:val="Standard"/>
        <w:spacing w:before="5" w:line="244" w:lineRule="auto"/>
        <w:ind w:left="255" w:right="192" w:hanging="255"/>
      </w:pPr>
      <w:r>
        <w:rPr>
          <w:color w:val="231F20"/>
          <w:sz w:val="12"/>
          <w:szCs w:val="12"/>
        </w:rPr>
        <w:t xml:space="preserve">Jevšnik, M., Hlebec, V., &amp; Raspor, P. (2008). </w:t>
      </w:r>
      <w:r>
        <w:rPr>
          <w:color w:val="2E3092"/>
          <w:sz w:val="12"/>
          <w:szCs w:val="12"/>
        </w:rPr>
        <w:t>Consumers' awareness of food safety from shopping to eating. Food Control, 19(8), 737–745.</w:t>
      </w:r>
    </w:p>
    <w:p w14:paraId="083FAC92" w14:textId="77777777" w:rsidR="00EE1BBB" w:rsidRDefault="00EE1BBB" w:rsidP="00EE1BBB">
      <w:pPr>
        <w:pStyle w:val="Standard"/>
        <w:spacing w:line="244" w:lineRule="auto"/>
        <w:ind w:left="392" w:right="52" w:hanging="253"/>
        <w:jc w:val="both"/>
      </w:pPr>
      <w:r>
        <w:rPr>
          <w:color w:val="231F20"/>
          <w:sz w:val="12"/>
          <w:szCs w:val="12"/>
        </w:rPr>
        <w:t xml:space="preserve">Juneja, V.K. (2003). </w:t>
      </w:r>
      <w:r>
        <w:rPr>
          <w:color w:val="2E3092"/>
          <w:sz w:val="12"/>
          <w:szCs w:val="12"/>
        </w:rPr>
        <w:t>A comparative heat inactivation study of indigenous microflora in beef with that of Listeria monocytogenes, Salmonella serotypes and Escherichia coli O157:H7. Letters in Applied Microbiology, 37(4), 292–298.</w:t>
      </w:r>
    </w:p>
    <w:p w14:paraId="0DCC1E74" w14:textId="77777777" w:rsidR="00EE1BBB" w:rsidRDefault="00EE1BBB" w:rsidP="00EE1BBB">
      <w:pPr>
        <w:pStyle w:val="Standard"/>
        <w:spacing w:before="5" w:line="244" w:lineRule="auto"/>
        <w:ind w:left="389" w:right="53" w:hanging="249"/>
        <w:jc w:val="both"/>
      </w:pPr>
      <w:r>
        <w:rPr>
          <w:color w:val="231F20"/>
          <w:sz w:val="12"/>
          <w:szCs w:val="12"/>
        </w:rPr>
        <w:t xml:space="preserve">Juneja, V.K., Eblen, B.S., &amp; Marks, H.M. (2001). </w:t>
      </w:r>
      <w:r>
        <w:rPr>
          <w:color w:val="2E3092"/>
          <w:sz w:val="12"/>
          <w:szCs w:val="12"/>
        </w:rPr>
        <w:t>Modeling non-linear survival curves to cal culate thermal inactivation of Salmonella in poultry of different fat levels. International Journal of Food Microbiology, 70(1–2), 37–51.</w:t>
      </w:r>
    </w:p>
    <w:p w14:paraId="6AB91191" w14:textId="77777777" w:rsidR="00EE1BBB" w:rsidRDefault="00EE1BBB" w:rsidP="00EE1BBB">
      <w:pPr>
        <w:pStyle w:val="Standard"/>
        <w:spacing w:before="4" w:line="247" w:lineRule="auto"/>
        <w:ind w:left="394" w:right="50" w:hanging="239"/>
      </w:pPr>
      <w:r>
        <w:rPr>
          <w:color w:val="231F20"/>
          <w:sz w:val="12"/>
          <w:szCs w:val="12"/>
        </w:rPr>
        <w:t xml:space="preserve">Karabudak, E., Bas, M., &amp; Kiziltan, G. (2008). </w:t>
      </w:r>
      <w:r>
        <w:rPr>
          <w:color w:val="2E3092"/>
          <w:sz w:val="12"/>
          <w:szCs w:val="12"/>
        </w:rPr>
        <w:t>Food safety in the home consumption of meat in Turkey. Food Control, 19(3), 320–327.</w:t>
      </w:r>
    </w:p>
    <w:p w14:paraId="58E3E82D" w14:textId="77777777" w:rsidR="00EE1BBB" w:rsidRDefault="00EE1BBB" w:rsidP="00EE1BBB">
      <w:pPr>
        <w:pStyle w:val="Standard"/>
        <w:spacing w:before="5" w:line="244" w:lineRule="auto"/>
        <w:ind w:left="394" w:right="50" w:hanging="239"/>
      </w:pPr>
      <w:r>
        <w:rPr>
          <w:color w:val="231F20"/>
          <w:sz w:val="12"/>
          <w:szCs w:val="12"/>
        </w:rPr>
        <w:t xml:space="preserve">King (née Turner), N.J., &amp; Whyte, R. (2006). </w:t>
      </w:r>
      <w:r>
        <w:rPr>
          <w:color w:val="2E3092"/>
          <w:sz w:val="12"/>
          <w:szCs w:val="12"/>
        </w:rPr>
        <w:t>Does it look cooked? A review of factors that influence cooked meat color. Journal of Food Science, 71(4), 31–40.</w:t>
      </w:r>
    </w:p>
    <w:p w14:paraId="3A4EF3E5" w14:textId="77777777" w:rsidR="00EE1BBB" w:rsidRDefault="00EE1BBB" w:rsidP="00EE1BBB">
      <w:pPr>
        <w:pStyle w:val="Standard"/>
        <w:spacing w:before="6" w:line="244" w:lineRule="auto"/>
        <w:ind w:left="370" w:right="48" w:hanging="215"/>
        <w:jc w:val="both"/>
      </w:pPr>
      <w:r>
        <w:rPr>
          <w:color w:val="231F20"/>
          <w:sz w:val="12"/>
          <w:szCs w:val="12"/>
        </w:rPr>
        <w:t xml:space="preserve">Kotrola, J.S., &amp; Conner, D.E. (1997). </w:t>
      </w:r>
      <w:r>
        <w:rPr>
          <w:color w:val="2E3092"/>
          <w:sz w:val="12"/>
          <w:szCs w:val="12"/>
        </w:rPr>
        <w:t>Heat inactivation of Escherichia coli 0157: H7 in turkey meat as affected by sodium chloride, sodium lactate, polyphosphate, and fat content. Journal of Food Protection, 60(8), 898–902.</w:t>
      </w:r>
    </w:p>
    <w:p w14:paraId="01EF611A" w14:textId="77777777" w:rsidR="00EE1BBB" w:rsidRDefault="00EE1BBB" w:rsidP="00EE1BBB">
      <w:pPr>
        <w:pStyle w:val="Standard"/>
        <w:spacing w:before="5" w:line="244" w:lineRule="auto"/>
        <w:ind w:left="391" w:right="38" w:hanging="236"/>
        <w:jc w:val="both"/>
      </w:pPr>
      <w:r>
        <w:rPr>
          <w:color w:val="231F20"/>
          <w:sz w:val="12"/>
          <w:szCs w:val="12"/>
        </w:rPr>
        <w:t xml:space="preserve">Lianou, A., &amp; Koutsoumanis, K. (2009). </w:t>
      </w:r>
      <w:r>
        <w:rPr>
          <w:color w:val="2E3092"/>
          <w:sz w:val="12"/>
          <w:szCs w:val="12"/>
        </w:rPr>
        <w:t>Evaluation of the effect of defrosting practices of ground beef on the heat tolerance of Listeria monocytogenes and Salmonella Enteritidis. Meat Science, 82(4), 461–468.</w:t>
      </w:r>
    </w:p>
    <w:p w14:paraId="576CCBCE" w14:textId="77777777" w:rsidR="00EE1BBB" w:rsidRDefault="00EE1BBB" w:rsidP="00EE1BBB">
      <w:pPr>
        <w:pStyle w:val="Standard"/>
        <w:spacing w:before="4" w:line="235" w:lineRule="auto"/>
        <w:ind w:left="388" w:right="51" w:hanging="233"/>
        <w:jc w:val="both"/>
      </w:pPr>
      <w:r>
        <w:rPr>
          <w:color w:val="231F20"/>
          <w:sz w:val="12"/>
          <w:szCs w:val="12"/>
        </w:rPr>
        <w:t xml:space="preserve">Luchansky, J.B., Porto-Fett, A.C.S., Shoyer, B.A., Phillips, J., Eblen, D., Evans, P., &amp; Bauer, N. (2013). </w:t>
      </w:r>
      <w:r>
        <w:rPr>
          <w:color w:val="2E3092"/>
          <w:sz w:val="12"/>
          <w:szCs w:val="12"/>
        </w:rPr>
        <w:t>Thermal inactivation of a single strain each of serotype O26:H11, O45:H2, O103:H2, O104: H4, O111:H</w:t>
      </w:r>
      <w:r>
        <w:rPr>
          <w:color w:val="2E3092"/>
          <w:sz w:val="15"/>
          <w:szCs w:val="15"/>
          <w:vertAlign w:val="superscript"/>
        </w:rPr>
        <w:t>−</w:t>
      </w:r>
      <w:r>
        <w:rPr>
          <w:color w:val="2E3092"/>
          <w:sz w:val="12"/>
          <w:szCs w:val="12"/>
        </w:rPr>
        <w:t>, O121:H19, O145:NM, and O157:H7 cells of Shiga toxin-producing Escherichia coli in wafers of ground beef. Journal of Food Protection, 76(8), 1434–1437.</w:t>
      </w:r>
    </w:p>
    <w:p w14:paraId="03D381DF" w14:textId="77777777" w:rsidR="00EE1BBB" w:rsidRDefault="00EE1BBB" w:rsidP="00EE1BBB">
      <w:pPr>
        <w:pStyle w:val="Standard"/>
        <w:spacing w:before="11" w:line="244" w:lineRule="auto"/>
        <w:ind w:left="394" w:right="50" w:hanging="238"/>
      </w:pPr>
      <w:r>
        <w:rPr>
          <w:color w:val="231F20"/>
          <w:sz w:val="12"/>
          <w:szCs w:val="12"/>
        </w:rPr>
        <w:t xml:space="preserve">Mazur, P. (1984). </w:t>
      </w:r>
      <w:r>
        <w:rPr>
          <w:color w:val="2E3092"/>
          <w:sz w:val="12"/>
          <w:szCs w:val="12"/>
        </w:rPr>
        <w:t>Freezing of living cells: Mechanisms and implications. American Journal of Physiology, 247(16), 125–142.</w:t>
      </w:r>
    </w:p>
    <w:p w14:paraId="6429FEEF" w14:textId="77777777" w:rsidR="00EE1BBB" w:rsidRDefault="00EE1BBB" w:rsidP="00EE1BBB">
      <w:pPr>
        <w:pStyle w:val="Standard"/>
        <w:spacing w:before="6" w:line="244" w:lineRule="auto"/>
        <w:ind w:left="393" w:right="48" w:hanging="237"/>
        <w:jc w:val="both"/>
      </w:pPr>
      <w:r>
        <w:rPr>
          <w:color w:val="231F20"/>
          <w:sz w:val="12"/>
          <w:szCs w:val="12"/>
        </w:rPr>
        <w:t xml:space="preserve">McLaughlin, J.B., Castrodale, L.J., Gardner, M.J., Rafiq, A., &amp; Bradford, G.D. (2006). </w:t>
      </w:r>
      <w:r>
        <w:rPr>
          <w:color w:val="2E3092"/>
          <w:sz w:val="12"/>
          <w:szCs w:val="12"/>
        </w:rPr>
        <w:t>Outbreak of multidrug-resistant Salmonella Typhimurium associated with ground beef served at a school potluck. Journal of Food Protection, 69(3), 666–670.</w:t>
      </w:r>
    </w:p>
    <w:p w14:paraId="3A25F622" w14:textId="77777777" w:rsidR="00EE1BBB" w:rsidRDefault="00EE1BBB" w:rsidP="00EE1BBB">
      <w:pPr>
        <w:pStyle w:val="Standard"/>
        <w:spacing w:before="5" w:line="244" w:lineRule="auto"/>
        <w:ind w:left="155" w:right="52"/>
      </w:pPr>
      <w:r>
        <w:rPr>
          <w:color w:val="231F20"/>
          <w:sz w:val="12"/>
          <w:szCs w:val="12"/>
        </w:rPr>
        <w:t xml:space="preserve">Miller, A.J., Bayles, D.O., &amp; Eblen, B.S. (2000). </w:t>
      </w:r>
      <w:r>
        <w:rPr>
          <w:color w:val="2E3092"/>
          <w:sz w:val="12"/>
          <w:szCs w:val="12"/>
        </w:rPr>
        <w:t xml:space="preserve">Cold shock induction of thermal sensitivity in Listeria monocytogenes. Applied and Environmental Microbiology, 66(10), 4345–4350. </w:t>
      </w:r>
      <w:r>
        <w:rPr>
          <w:color w:val="231F20"/>
          <w:sz w:val="12"/>
          <w:szCs w:val="12"/>
        </w:rPr>
        <w:t xml:space="preserve">Mukherjee, A., Yoon, Y., Geornaras, I., Belk, K.E., Scanga, J., Smith, G.M., &amp; Sofos, J.N. (2009). </w:t>
      </w:r>
      <w:r>
        <w:rPr>
          <w:color w:val="2E3092"/>
          <w:sz w:val="12"/>
          <w:szCs w:val="12"/>
        </w:rPr>
        <w:t>Effect of meat binding formulations on thermal inactivation of Escherichia coli O157: H7 internalized in beef. Journal of Food Science, 74(2), 94–99.</w:t>
      </w:r>
    </w:p>
    <w:p w14:paraId="5D6051FD" w14:textId="77777777" w:rsidR="00EE1BBB" w:rsidRDefault="00EE1BBB" w:rsidP="00EE1BBB">
      <w:pPr>
        <w:pStyle w:val="Standard"/>
        <w:spacing w:before="5" w:line="244" w:lineRule="auto"/>
        <w:ind w:left="391" w:right="50" w:hanging="236"/>
        <w:jc w:val="both"/>
      </w:pPr>
      <w:r>
        <w:rPr>
          <w:color w:val="231F20"/>
          <w:sz w:val="12"/>
          <w:szCs w:val="12"/>
        </w:rPr>
        <w:t xml:space="preserve">Murphy, R.Y., Beard, B.L., Martin, E.M., Keener, A.E., &amp; Osaili, T. (2004). </w:t>
      </w:r>
      <w:r>
        <w:rPr>
          <w:color w:val="2E3092"/>
          <w:sz w:val="12"/>
          <w:szCs w:val="12"/>
        </w:rPr>
        <w:t>Predicting process lethality of Escherichia coli O157:H7, Salmonella, and Listeria monocytogenes in ground, formulated, and formed beef/turkey links cooked in an air impingement oven. Food Microbiology, 21(5), 493–499.</w:t>
      </w:r>
    </w:p>
    <w:p w14:paraId="5336365E" w14:textId="77777777" w:rsidR="00EE1BBB" w:rsidRDefault="00EE1BBB" w:rsidP="00EE1BBB">
      <w:pPr>
        <w:pStyle w:val="Standard"/>
        <w:spacing w:before="6" w:line="244" w:lineRule="auto"/>
        <w:ind w:left="155" w:right="52"/>
        <w:jc w:val="center"/>
      </w:pPr>
      <w:r>
        <w:rPr>
          <w:color w:val="231F20"/>
          <w:sz w:val="12"/>
          <w:szCs w:val="12"/>
        </w:rPr>
        <w:t xml:space="preserve">Novak, J., &amp; Juneja, V.K. (2003). </w:t>
      </w:r>
      <w:r>
        <w:rPr>
          <w:color w:val="2E3092"/>
          <w:sz w:val="12"/>
          <w:szCs w:val="12"/>
        </w:rPr>
        <w:t xml:space="preserve">Effects of refrigeration or freezing on survival of Listeria monocytogenes Scott A in under-cooked ground beef. Food Control, 14(1), 25–30. </w:t>
      </w:r>
      <w:r>
        <w:rPr>
          <w:color w:val="231F20"/>
          <w:sz w:val="12"/>
          <w:szCs w:val="12"/>
        </w:rPr>
        <w:t xml:space="preserve">Passos, M. -H.C.R., &amp; Kuaye, A.Y. (2002). </w:t>
      </w:r>
      <w:r>
        <w:rPr>
          <w:color w:val="2E3092"/>
          <w:sz w:val="12"/>
          <w:szCs w:val="12"/>
        </w:rPr>
        <w:t>Influence of the formulation, cooking time and</w:t>
      </w:r>
    </w:p>
    <w:p w14:paraId="61D09DB8" w14:textId="77777777" w:rsidR="00EE1BBB" w:rsidRDefault="00EE1BBB" w:rsidP="00EE1BBB">
      <w:pPr>
        <w:pStyle w:val="Standard"/>
        <w:spacing w:before="5" w:line="244" w:lineRule="auto"/>
        <w:ind w:left="393" w:right="53"/>
      </w:pPr>
      <w:r>
        <w:rPr>
          <w:color w:val="2E3092"/>
          <w:sz w:val="12"/>
          <w:szCs w:val="12"/>
        </w:rPr>
        <w:t>final internal temperature of beef hamburgers on the destruction of Listeria monocytogenes. Food Control, 13(1), 33–40.</w:t>
      </w:r>
    </w:p>
    <w:p w14:paraId="1B3F996D" w14:textId="77777777" w:rsidR="00EE1BBB" w:rsidRDefault="00EE1BBB" w:rsidP="00EE1BBB">
      <w:pPr>
        <w:pStyle w:val="Standard"/>
        <w:spacing w:before="6" w:line="244" w:lineRule="auto"/>
        <w:ind w:left="394" w:right="52" w:hanging="239"/>
      </w:pPr>
      <w:r>
        <w:rPr>
          <w:color w:val="231F20"/>
          <w:sz w:val="12"/>
          <w:szCs w:val="12"/>
        </w:rPr>
        <w:t xml:space="preserve">Phang, H.S., &amp; Bruhn, C.M. (2011). </w:t>
      </w:r>
      <w:r>
        <w:rPr>
          <w:color w:val="2E3092"/>
          <w:sz w:val="12"/>
          <w:szCs w:val="12"/>
        </w:rPr>
        <w:t>Burger preparation: what consumers say and do in the home. Journal of Food Protection, 74(10), 1708–1716.</w:t>
      </w:r>
    </w:p>
    <w:p w14:paraId="71EDAE8E" w14:textId="77777777" w:rsidR="00EE1BBB" w:rsidRDefault="00EE1BBB" w:rsidP="00EE1BBB">
      <w:pPr>
        <w:pStyle w:val="Standard"/>
        <w:spacing w:before="6" w:line="247" w:lineRule="auto"/>
        <w:ind w:left="389" w:right="52" w:hanging="234"/>
      </w:pPr>
      <w:r>
        <w:rPr>
          <w:color w:val="231F20"/>
          <w:sz w:val="12"/>
          <w:szCs w:val="12"/>
        </w:rPr>
        <w:t xml:space="preserve">Ray, B., &amp; Speck, M.L. (1973). </w:t>
      </w:r>
      <w:r>
        <w:rPr>
          <w:color w:val="2E3092"/>
          <w:sz w:val="12"/>
          <w:szCs w:val="12"/>
        </w:rPr>
        <w:t xml:space="preserve">Freeze injury in bacteria. CRC Critical Reviews in Clinical </w:t>
      </w:r>
      <w:r>
        <w:rPr>
          <w:color w:val="2E3092"/>
          <w:sz w:val="12"/>
          <w:szCs w:val="12"/>
        </w:rPr>
        <w:t>Laboratory Sciences, 4, 161–213.</w:t>
      </w:r>
    </w:p>
    <w:p w14:paraId="464E741F" w14:textId="77777777" w:rsidR="00EE1BBB" w:rsidRDefault="00EE1BBB" w:rsidP="00EE1BBB">
      <w:pPr>
        <w:pStyle w:val="Standard"/>
        <w:spacing w:before="4" w:line="244" w:lineRule="auto"/>
        <w:ind w:left="392" w:right="37" w:hanging="237"/>
        <w:jc w:val="both"/>
      </w:pPr>
      <w:r>
        <w:rPr>
          <w:color w:val="231F20"/>
          <w:sz w:val="12"/>
          <w:szCs w:val="12"/>
        </w:rPr>
        <w:t xml:space="preserve">Rhee, M. -S., Lee, S. -Y., Hillers, V.N., McCurdy, S.M., &amp; Kang, D. -H. (2003). </w:t>
      </w:r>
      <w:r>
        <w:rPr>
          <w:color w:val="2E3092"/>
          <w:sz w:val="12"/>
          <w:szCs w:val="12"/>
        </w:rPr>
        <w:t>Evaluation of consumer-style cooking methods for reduction of Escherichia coli O157:H7 in ground beef. Journal of Food Protection, 66(6), 1030–1034.</w:t>
      </w:r>
    </w:p>
    <w:p w14:paraId="4AC9B0E3" w14:textId="77777777" w:rsidR="00EE1BBB" w:rsidRDefault="00EE1BBB" w:rsidP="00EE1BBB">
      <w:pPr>
        <w:pStyle w:val="Standard"/>
        <w:spacing w:before="5" w:line="244" w:lineRule="auto"/>
        <w:ind w:left="155" w:right="54"/>
      </w:pPr>
      <w:r>
        <w:rPr>
          <w:color w:val="231F20"/>
          <w:sz w:val="12"/>
          <w:szCs w:val="12"/>
        </w:rPr>
        <w:t xml:space="preserve">Sage, J.R., &amp; Ingham, S.C. (1998). </w:t>
      </w:r>
      <w:r>
        <w:rPr>
          <w:color w:val="2E3092"/>
          <w:sz w:val="12"/>
          <w:szCs w:val="12"/>
        </w:rPr>
        <w:t xml:space="preserve">Survival of Escherichia coli O157:H7 after freezing and thawing in ground beef patties. Journal of Food Protection, 61(9), 1181–1183. </w:t>
      </w:r>
      <w:r>
        <w:rPr>
          <w:color w:val="231F20"/>
          <w:sz w:val="12"/>
          <w:szCs w:val="12"/>
        </w:rPr>
        <w:t xml:space="preserve">Schneider, K.R., White, P.L., Weiss, J., Norton, D., Lidgard, J., Gould, L.H., Yee, B., Vugia, D.J., &amp; Mohle-Boetani, J. (2011). </w:t>
      </w:r>
      <w:r>
        <w:rPr>
          <w:color w:val="2E3092"/>
          <w:sz w:val="12"/>
          <w:szCs w:val="12"/>
        </w:rPr>
        <w:t>Multistate outbreak of multidrug-resistant Salmonella Newport infections associated with ground beef, October to December 2007. Journal of Food Protection, 74(8), 1315–1319.</w:t>
      </w:r>
    </w:p>
    <w:p w14:paraId="3693D652" w14:textId="77777777" w:rsidR="00EE1BBB" w:rsidRDefault="00EE1BBB" w:rsidP="00EE1BBB">
      <w:pPr>
        <w:pStyle w:val="Standard"/>
        <w:spacing w:before="4" w:line="247" w:lineRule="auto"/>
        <w:ind w:left="392" w:right="53" w:hanging="237"/>
        <w:jc w:val="both"/>
      </w:pPr>
      <w:r>
        <w:rPr>
          <w:color w:val="231F20"/>
          <w:sz w:val="12"/>
          <w:szCs w:val="12"/>
        </w:rPr>
        <w:t xml:space="preserve">Shen, C., Adler, J.M., Geornaras, I., Belk, K.E., Smith, G.M., &amp; Sofos, J.N. (2010). </w:t>
      </w:r>
      <w:r>
        <w:rPr>
          <w:color w:val="2E3092"/>
          <w:sz w:val="12"/>
          <w:szCs w:val="12"/>
        </w:rPr>
        <w:t>Inactivation of Escherichia coli O157:H7 in non-intact beefsteaks of different thicknesses cooked by pan broiling, double pan broiling, or roasting by using five types of cooking appli ances. Journal of Food Protection, 73(3), 461–469.</w:t>
      </w:r>
    </w:p>
    <w:p w14:paraId="6091EA2B" w14:textId="77777777" w:rsidR="00EE1BBB" w:rsidRDefault="00EE1BBB" w:rsidP="00EE1BBB">
      <w:pPr>
        <w:pStyle w:val="Standard"/>
        <w:spacing w:before="5" w:line="247" w:lineRule="auto"/>
        <w:ind w:left="389" w:right="31" w:hanging="234"/>
        <w:jc w:val="both"/>
      </w:pPr>
      <w:r>
        <w:rPr>
          <w:color w:val="231F20"/>
          <w:sz w:val="12"/>
          <w:szCs w:val="12"/>
        </w:rPr>
        <w:t xml:space="preserve">Shen, C., Geornaras, I., Belk, K.E., Smith, G.C., &amp; Sofos, J.N. (2011a). </w:t>
      </w:r>
      <w:r>
        <w:rPr>
          <w:color w:val="2E3092"/>
          <w:sz w:val="12"/>
          <w:szCs w:val="12"/>
        </w:rPr>
        <w:t>Inactivation of Escherichia coli O157:H7 in moisture-enhanced non-intact beef by pan-broiling or roasting with various cooking appliances set at different temperatures. Journal of Food Science, 76(1), 64–71.</w:t>
      </w:r>
    </w:p>
    <w:p w14:paraId="58D1606A" w14:textId="77777777" w:rsidR="00EE1BBB" w:rsidRDefault="00EE1BBB" w:rsidP="00EE1BBB">
      <w:pPr>
        <w:pStyle w:val="Standard"/>
        <w:spacing w:before="4" w:line="244" w:lineRule="auto"/>
        <w:ind w:left="393" w:right="37" w:hanging="238"/>
        <w:jc w:val="both"/>
      </w:pPr>
      <w:r>
        <w:rPr>
          <w:color w:val="231F20"/>
          <w:sz w:val="12"/>
          <w:szCs w:val="12"/>
        </w:rPr>
        <w:t xml:space="preserve">Shen, C., Geornaras, I., Belk, K.E., Smith, G.C., &amp; Sofos, J.N. (2011b). </w:t>
      </w:r>
      <w:r>
        <w:rPr>
          <w:color w:val="2E3092"/>
          <w:sz w:val="12"/>
          <w:szCs w:val="12"/>
        </w:rPr>
        <w:t>Thermal inactivation of acid, cold, heat, starvation, and desiccation stress-adapted Escherichia coli O157:H7 in moisture-enhanced non-intact beef. Journal of Food Protection, 74(4), 531–538.</w:t>
      </w:r>
    </w:p>
    <w:p w14:paraId="736CB8D1" w14:textId="77777777" w:rsidR="00EE1BBB" w:rsidRDefault="00EE1BBB" w:rsidP="00EE1BBB">
      <w:pPr>
        <w:pStyle w:val="Standard"/>
        <w:spacing w:before="5" w:line="244" w:lineRule="auto"/>
        <w:ind w:left="392" w:right="53" w:hanging="237"/>
        <w:jc w:val="both"/>
      </w:pPr>
      <w:r>
        <w:rPr>
          <w:color w:val="231F20"/>
          <w:sz w:val="12"/>
          <w:szCs w:val="12"/>
        </w:rPr>
        <w:t xml:space="preserve">Simpson Beauchamp, C., Byelashov, O.A., Geornaras, I., Kendall, P.A., Scanga, J.A., Belk, K.E., Smith, G.M., &amp; Sofos, J.N. (2010). </w:t>
      </w:r>
      <w:r>
        <w:rPr>
          <w:color w:val="2E3092"/>
          <w:sz w:val="12"/>
          <w:szCs w:val="12"/>
        </w:rPr>
        <w:t>Fate of Listeria monocytogenes during freezing, thawing and home storage of frankfurters. Food Microbiology, 27(1), 144–149.</w:t>
      </w:r>
    </w:p>
    <w:p w14:paraId="2CFB22DD" w14:textId="77777777" w:rsidR="00EE1BBB" w:rsidRDefault="00EE1BBB" w:rsidP="00EE1BBB">
      <w:pPr>
        <w:pStyle w:val="Standard"/>
        <w:spacing w:before="5" w:line="244" w:lineRule="auto"/>
        <w:ind w:left="394" w:right="53" w:hanging="238"/>
        <w:jc w:val="both"/>
      </w:pPr>
      <w:r>
        <w:rPr>
          <w:color w:val="231F20"/>
          <w:sz w:val="12"/>
          <w:szCs w:val="12"/>
        </w:rPr>
        <w:t xml:space="preserve">Skandamis, P.N., Yoon, Y., Stopforth, J.D., Kendall, P., &amp; Sofos, J.N. (2008). </w:t>
      </w:r>
      <w:r>
        <w:rPr>
          <w:color w:val="2E3092"/>
          <w:sz w:val="12"/>
          <w:szCs w:val="12"/>
        </w:rPr>
        <w:t>Heat and acid tol erance of Listeria monocytogenes after exposure to single and multiple sublethal stresses. Food Microbiology, 25(2), 294–303.</w:t>
      </w:r>
    </w:p>
    <w:p w14:paraId="3975325B" w14:textId="77777777" w:rsidR="00EE1BBB" w:rsidRDefault="00EE1BBB" w:rsidP="00EE1BBB">
      <w:pPr>
        <w:pStyle w:val="Standard"/>
        <w:spacing w:before="4" w:line="247" w:lineRule="auto"/>
        <w:ind w:left="390" w:right="49" w:hanging="237"/>
        <w:jc w:val="both"/>
      </w:pPr>
      <w:r>
        <w:rPr>
          <w:color w:val="231F20"/>
          <w:sz w:val="12"/>
          <w:szCs w:val="12"/>
        </w:rPr>
        <w:t xml:space="preserve">United States Department of Agriculture—Food Safety and Inspection Service (2013a). Ground beef and food safety. Available at: </w:t>
      </w:r>
      <w:r>
        <w:rPr>
          <w:color w:val="2E3092"/>
          <w:sz w:val="12"/>
          <w:szCs w:val="12"/>
        </w:rPr>
        <w:t>http://www.fsis.usda.gov/ wps/portal/fsis/topics/food-safety-education/get-answers/food-safety-fact-sheets/ meat-preparation/ground-beef-and-food-safety/ct_index</w:t>
      </w:r>
    </w:p>
    <w:p w14:paraId="60199E21" w14:textId="77777777" w:rsidR="00EE1BBB" w:rsidRDefault="00EE1BBB" w:rsidP="00EE1BBB">
      <w:pPr>
        <w:pStyle w:val="Standard"/>
        <w:spacing w:before="5" w:line="244" w:lineRule="auto"/>
        <w:ind w:left="392" w:right="47" w:hanging="239"/>
        <w:jc w:val="both"/>
      </w:pPr>
      <w:r>
        <w:rPr>
          <w:color w:val="231F20"/>
          <w:sz w:val="12"/>
          <w:szCs w:val="12"/>
        </w:rPr>
        <w:t xml:space="preserve">US Department of Agriculture Food Safety and Inspection Service (2013b). Safe minimum internal temperature chart. Available at: </w:t>
      </w:r>
      <w:r>
        <w:rPr>
          <w:color w:val="2E3092"/>
          <w:sz w:val="12"/>
          <w:szCs w:val="12"/>
        </w:rPr>
        <w:t>http://www.fsis.usda.gov/wps/portal/fsis/ topics/food-safety-education/get-answers/food-safety-fact-sheets/safe-food-handling/ safe-minimum-internal-temperature-chart/ct_index</w:t>
      </w:r>
    </w:p>
    <w:p w14:paraId="51D4465B" w14:textId="77777777" w:rsidR="00EE1BBB" w:rsidRDefault="00EE1BBB" w:rsidP="00EE1BBB">
      <w:pPr>
        <w:pStyle w:val="Standard"/>
        <w:spacing w:before="6" w:line="244" w:lineRule="auto"/>
        <w:ind w:left="393" w:right="53" w:hanging="243"/>
        <w:jc w:val="both"/>
      </w:pPr>
      <w:r>
        <w:rPr>
          <w:color w:val="231F20"/>
          <w:sz w:val="12"/>
          <w:szCs w:val="12"/>
        </w:rPr>
        <w:t xml:space="preserve">Vasanthi, C., Venkataramanujam, V., &amp; Dushyanthan, K. (2007). </w:t>
      </w:r>
      <w:r>
        <w:rPr>
          <w:color w:val="2E3092"/>
          <w:sz w:val="12"/>
          <w:szCs w:val="12"/>
        </w:rPr>
        <w:t>Effect of cooking temper ature and time on the physico-chemical, histological and sensory properties of female carabeef (buffalo) meat. Meat Science, 76(2), 274–280.</w:t>
      </w:r>
    </w:p>
    <w:p w14:paraId="579C0040" w14:textId="77777777" w:rsidR="00D04CBE" w:rsidRDefault="00D04CBE"/>
    <w:sectPr w:rsidR="00D04CBE">
      <w:type w:val="continuous"/>
      <w:pgSz w:w="11906" w:h="15860"/>
      <w:pgMar w:top="728" w:right="656" w:bottom="995" w:left="665" w:header="720" w:footer="720" w:gutter="0"/>
      <w:pgNumType w:start="1"/>
      <w:cols w:num="2" w:space="720" w:equalWidth="0">
        <w:col w:w="5293" w:space="0"/>
        <w:col w:w="5292"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BBB"/>
    <w:rsid w:val="00D04CBE"/>
    <w:rsid w:val="00EE1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F65A9"/>
  <w15:chartTrackingRefBased/>
  <w15:docId w15:val="{5ED6BD3C-E238-4B70-ABAC-0906F9BA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BBB"/>
    <w:pPr>
      <w:suppressAutoHyphens/>
      <w:autoSpaceDN w:val="0"/>
      <w:spacing w:after="0" w:line="240" w:lineRule="auto"/>
      <w:textAlignment w:val="baseline"/>
    </w:pPr>
    <w:rPr>
      <w:rFonts w:ascii="Arial" w:eastAsia="Arial" w:hAnsi="Arial" w:cs="Arial"/>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E1BBB"/>
    <w:pPr>
      <w:widowControl w:val="0"/>
      <w:suppressAutoHyphens/>
      <w:autoSpaceDN w:val="0"/>
      <w:spacing w:after="0" w:line="276" w:lineRule="auto"/>
      <w:textAlignment w:val="baseline"/>
    </w:pPr>
    <w:rPr>
      <w:rFonts w:ascii="Arial" w:eastAsia="Arial" w:hAnsi="Arial" w:cs="Arial"/>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7742</Words>
  <Characters>44135</Characters>
  <Application>Microsoft Office Word</Application>
  <DocSecurity>0</DocSecurity>
  <Lines>367</Lines>
  <Paragraphs>103</Paragraphs>
  <ScaleCrop>false</ScaleCrop>
  <Company/>
  <LinksUpToDate>false</LinksUpToDate>
  <CharactersWithSpaces>51774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ostavia cintron</dc:creator>
  <cp:keywords/>
  <dc:description/>
  <cp:lastModifiedBy>ostavia cintron</cp:lastModifiedBy>
  <cp:revision>1</cp:revision>
  <dcterms:created xsi:type="dcterms:W3CDTF">2020-11-19T15:50:00Z</dcterms:created>
  <dcterms:modified xsi:type="dcterms:W3CDTF">2020-11-19T15:50:00Z</dcterms:modified>
</cp:coreProperties>
</file>